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Supplemental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SR 0044 13.69 PID 88896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Design Criteria For Bridges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General Project Information</w:t>
      </w:r>
      <w:bookmarkEnd w:id="1"/>
    </w:p>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Project, Cost Schedule and Work Limits</w:t>
      </w:r>
      <w:bookmarkEnd w:id="2"/>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88896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 SR 0044 13.69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$70,000.00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$2,252,300.00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the policies and procedures of theNational Environmental Policy Act (NEPA) for the environmental processing ofClass II Categorical Exclusion (CE) Actions as defined in 23 CFR 771.117 (andas amended) and pursuant to the current Programmatic Agreement between FHWA andODOT, on May 15, 2014, the STA 44 - 13.69; PID 88896; project was determined tobe EXEMPT from the environmental documentation process.  However, the project scope was modified onFebruary 3, 2017, requiring a NEPA re-evaluation of the environmentaldocumentation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STA 44 - 13.69; PID 88896; project proposes to mill,repair and resurface approximately 3.8 miles of asphalt-concrete pavement onState Route (SR) 44 in Marlboro Township, 0.92 mile of asphalt-concretepavement on SR 44 in the city of Louisville and Nimishillen Township and 0.34 mileof asphalt-concrete pavement on SR 619 in the village of Hartville in StarkCounty, Ohio.  As part of the pavementwork, the project will install new 2-foot wide by 2.5-inch thick compactedaggregate safety edge and perform linear grading along SR 44 and SR 619 withinthe project limits.  In addition to thepavement work, safety edge installation and linear grading, the project willreplace an existing sign truss and warning signage on U.S. Route 62 at straightline mile (SLM) 21.51 in Plain Township, Stark County, Ohio, and performmaintenance on Bridge Structure No. STA-44-14.36 in the city of Louisville,Stark County, Ohio.   The proposed maintenanceactivities on Bridge Structure No. STA-44-14.36 include the following: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Clearing and grubbing of above ground vegetation within15-feet of the bridge.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Removal of unsound concrete and patching with new concreteon the bridge deck, substructure and concrete median.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Erosion repair at the forward right abutment.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Removal of the existing bridge deck/approach slab wearingsurface and installation of new fiber reinforced concrete overlay (0.05 mile).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Sealing of all repaired and/or exposed concrete surfacesof the deck, substructure, parapets and median with epoxy-urethane sealer.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Installation of new bridge identification signage.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In the affected two-lane sections of SR 44 and SR 619, a minimum of oneten-foot bi-directional lane shall be maintained on SR 44 and SR 619 duringproject construction.  In the affectedfour-lane sections of SR 44 and U.S. Route 62, a minimum of one ten-foot laneshall be maintained in each direction during project construction and lane restrictions/reductionsshall not be permitted during normal work hours.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be constructed entirely within the existingSR 44, SR 619 and U.S. Route 62 rights-of-way. The project will not impact any environmentally sensitive resourceswithin the project 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 SR 44 and STA SR 619, STA US 62 24.30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13.69/4.66/24.3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23.21/5.0/24.3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5.21</w:t>
            </w:r>
          </w:p>
        </w:tc>
      </w:tr>
    </w:tbl>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Roadway Character</w:t>
      </w:r>
      <w:bookmarkEnd w:id="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5"/>
        </w:rPr>
        <w:t>Tab Number: SR00044</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Minor Arterial (Rural)</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120"/>
              <w:rPr>
                <w:rStyle w:val="DefaultParagraphFont"/>
              </w:rPr>
            </w:pPr>
            <w:r>
              <w:rPr>
                <w:rStyle w:val="DefaultParagraphFont"/>
                <w:b/>
                <w:sz w:val="24"/>
                <w:szCs w:val="24"/>
                <w:lang w:val="en-US" w:eastAsia="en-US" w:bidi="ar-SA"/>
              </w:rPr>
              <w:t>Truck %:</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120"/>
              <w:rPr>
                <w:rStyle w:val="DefaultParagraphFont"/>
              </w:rPr>
            </w:pPr>
            <w:r>
              <w:rPr>
                <w:rStyle w:val="DefaultParagraphFont"/>
                <w:b/>
                <w:sz w:val="24"/>
                <w:szCs w:val="24"/>
                <w:lang w:val="en-US" w:eastAsia="en-US" w:bidi="ar-SA"/>
              </w:rPr>
              <w:t>Setting:</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Suburban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Rolling</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0"/>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0"/>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0"/>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0"/>
              <w:keepNext/>
              <w:spacing w:after="120"/>
              <w:rPr>
                <w:rStyle w:val="DefaultParagraphFont"/>
              </w:rPr>
            </w:pPr>
            <w:r>
              <w:rPr>
                <w:rStyle w:val="DefaultParagraphFont"/>
                <w:sz w:val="24"/>
                <w:szCs w:val="24"/>
                <w:lang w:val="en-US" w:eastAsia="en-US" w:bidi="ar-SA"/>
              </w:rPr>
              <w:t xml:space="preserve"> </w:t>
            </w:r>
          </w:p>
        </w:tc>
      </w:tr>
    </w:tbl>
    <w:p>
      <w:pPr>
        <w:pStyle w:val="BodyText0"/>
        <w:keepNext/>
        <w:rPr>
          <w:rStyle w:val="DefaultParagraphFont"/>
        </w:rPr>
      </w:pPr>
      <w:r>
        <w:rPr>
          <w:rStyle w:val="DefaultParagraphFont"/>
          <w:b/>
          <w:sz w:val="25"/>
        </w:rPr>
        <w:t>Tab Number: SR00619</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0"/>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Minor Arterial (Urban)</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0"/>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0"/>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0"/>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0"/>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0"/>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0"/>
              <w:keepNext/>
              <w:spacing w:after="120"/>
              <w:rPr>
                <w:rStyle w:val="DefaultParagraphFont"/>
              </w:rPr>
            </w:pPr>
            <w:r>
              <w:rPr>
                <w:rStyle w:val="DefaultParagraphFont"/>
                <w:b/>
                <w:sz w:val="24"/>
                <w:szCs w:val="24"/>
                <w:lang w:val="en-US" w:eastAsia="en-US" w:bidi="ar-SA"/>
              </w:rPr>
              <w:t>Truck %:</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0"/>
              <w:keepNext/>
              <w:spacing w:after="120"/>
              <w:rPr>
                <w:rStyle w:val="DefaultParagraphFont"/>
              </w:rPr>
            </w:pPr>
            <w:r>
              <w:rPr>
                <w:rStyle w:val="DefaultParagraphFont"/>
                <w:b/>
                <w:sz w:val="24"/>
                <w:szCs w:val="24"/>
                <w:lang w:val="en-US" w:eastAsia="en-US" w:bidi="ar-SA"/>
              </w:rPr>
              <w:t>Setting:</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Suburban</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0"/>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Rolling</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0"/>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0"/>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0"/>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0"/>
              <w:keepNext/>
              <w:spacing w:after="120"/>
              <w:rPr>
                <w:rStyle w:val="DefaultParagraphFont"/>
              </w:rPr>
            </w:pPr>
            <w:r>
              <w:rPr>
                <w:rStyle w:val="DefaultParagraphFont"/>
                <w:sz w:val="24"/>
                <w:szCs w:val="24"/>
                <w:lang w:val="en-US" w:eastAsia="en-US" w:bidi="ar-SA"/>
              </w:rPr>
              <w:t xml:space="preserve"> </w:t>
            </w:r>
          </w:p>
        </w:tc>
      </w:tr>
    </w:tbl>
    <w:p>
      <w:pPr>
        <w:pStyle w:val="Heading30"/>
        <w:keepNext/>
        <w:rPr>
          <w:rStyle w:val="DefaultParagraphFont"/>
        </w:rPr>
      </w:pPr>
      <w:bookmarkStart w:id="4" w:name="_Toc256000003"/>
      <w:r>
        <w:rPr>
          <w:rStyle w:val="DefaultParagraphFont"/>
          <w:rFonts w:ascii="Calibri" w:eastAsia="Calibri" w:hAnsi="Calibri" w:cs="Calibri"/>
        </w:rPr>
        <w:t>Design Criteria For Bridges</w:t>
      </w:r>
      <w:bookmarkEnd w:id="4"/>
    </w:p>
    <w:p>
      <w:pPr>
        <w:pStyle w:val="BodyText0"/>
        <w:keepNext/>
        <w:rPr>
          <w:rStyle w:val="DefaultParagraphFont"/>
          <w:rFonts w:ascii="Calibri" w:eastAsia="Calibri" w:hAnsi="Calibri" w:cs="Calibri"/>
        </w:rPr>
      </w:pPr>
      <w:r>
        <w:rPr>
          <w:rStyle w:val="DefaultParagraphFont"/>
          <w:rFonts w:ascii="Calibri" w:eastAsia="Calibri" w:hAnsi="Calibri" w:cs="Calibri"/>
          <w:b/>
          <w:sz w:val="25"/>
        </w:rPr>
        <w:t>Tab Number: 7601808</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097.2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07/01/1966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 xml:space="preserve">JCT OF SR 44 AND US 62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0"/>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0"/>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0"/>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257</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257</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74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74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59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59</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0"/>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0"/>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0"/>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0"/>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0"/>
              <w:keepNext/>
              <w:spacing w:after="120"/>
              <w:rPr>
                <w:rStyle w:val="DefaultParagraphFont"/>
              </w:rPr>
            </w:pPr>
            <w:r>
              <w:rPr>
                <w:rStyle w:val="DefaultParagraphFont"/>
                <w:b/>
                <w:sz w:val="24"/>
                <w:szCs w:val="24"/>
                <w:lang w:val="en-US" w:eastAsia="en-US" w:bidi="ar-SA"/>
              </w:rPr>
              <w:t>Remarks:</w:t>
            </w:r>
          </w:p>
        </w:tc>
        <w:tc>
          <w:tcPr>
            <w:tcW w:w="2880" w:type="dxa"/>
          </w:tcPr>
          <w:p>
            <w:pPr>
              <w:pStyle w:val="Normal1"/>
              <w:spacing w:after="280" w:afterAutospacing="1"/>
              <w:rPr>
                <w:rStyle w:val="DefaultParagraphFont"/>
                <w:b w:val="0"/>
                <w:sz w:val="24"/>
              </w:rPr>
            </w:pPr>
            <w:r>
              <w:rPr>
                <w:rStyle w:val="DefaultParagraphFont"/>
                <w:b w:val="0"/>
                <w:sz w:val="24"/>
                <w:lang w:val="en-US" w:eastAsia="en-US" w:bidi="ar-SA"/>
              </w:rPr>
              <w:t xml:space="preserve">The proposed maintenance activities on Bridge Structure No. STA-44-14.36 include the following: </w:t>
            </w:r>
          </w:p>
          <w:p>
            <w:pPr>
              <w:pStyle w:val="Normal1"/>
              <w:spacing w:after="280" w:afterAutospacing="1"/>
              <w:rPr>
                <w:rStyle w:val="DefaultParagraphFont"/>
                <w:b w:val="0"/>
                <w:sz w:val="24"/>
              </w:rPr>
            </w:pPr>
            <w:r>
              <w:rPr>
                <w:rStyle w:val="DefaultParagraphFont"/>
                <w:b w:val="0"/>
                <w:sz w:val="24"/>
                <w:lang w:val="en-US" w:eastAsia="en-US" w:bidi="ar-SA"/>
              </w:rPr>
              <w:t>Clearing and grubbing of above ground vegetation within 15-feet of the bridge.</w:t>
            </w:r>
          </w:p>
          <w:p>
            <w:pPr>
              <w:pStyle w:val="Normal1"/>
              <w:spacing w:after="280" w:afterAutospacing="1"/>
              <w:rPr>
                <w:rStyle w:val="DefaultParagraphFont"/>
                <w:b w:val="0"/>
                <w:sz w:val="24"/>
              </w:rPr>
            </w:pPr>
            <w:r>
              <w:rPr>
                <w:rStyle w:val="DefaultParagraphFont"/>
                <w:b w:val="0"/>
                <w:sz w:val="24"/>
                <w:lang w:val="en-US" w:eastAsia="en-US" w:bidi="ar-SA"/>
              </w:rPr>
              <w:t xml:space="preserve">Removal of unsound concrete and patching with new concrete on the bridge deck, substructure and concrete median. </w:t>
            </w:r>
          </w:p>
          <w:p>
            <w:pPr>
              <w:pStyle w:val="Normal1"/>
              <w:spacing w:after="280" w:afterAutospacing="1"/>
              <w:rPr>
                <w:rStyle w:val="DefaultParagraphFont"/>
                <w:b w:val="0"/>
                <w:sz w:val="24"/>
              </w:rPr>
            </w:pPr>
            <w:r>
              <w:rPr>
                <w:rStyle w:val="DefaultParagraphFont"/>
                <w:b w:val="0"/>
                <w:sz w:val="24"/>
                <w:lang w:val="en-US" w:eastAsia="en-US" w:bidi="ar-SA"/>
              </w:rPr>
              <w:t>Erosion repair at the forward right abutment.</w:t>
            </w:r>
          </w:p>
          <w:p>
            <w:pPr>
              <w:pStyle w:val="Normal1"/>
              <w:spacing w:after="280" w:afterAutospacing="1"/>
              <w:rPr>
                <w:rStyle w:val="DefaultParagraphFont"/>
                <w:b w:val="0"/>
                <w:sz w:val="24"/>
              </w:rPr>
            </w:pPr>
            <w:r>
              <w:rPr>
                <w:rStyle w:val="DefaultParagraphFont"/>
                <w:b w:val="0"/>
                <w:sz w:val="24"/>
                <w:lang w:val="en-US" w:eastAsia="en-US" w:bidi="ar-SA"/>
              </w:rPr>
              <w:t>Removal of the existing bridge deck/approach slab wearing surface and installation of new fiber reinforced concrete overlay (0.05 mile).</w:t>
            </w:r>
          </w:p>
          <w:p>
            <w:pPr>
              <w:pStyle w:val="Normal1"/>
              <w:spacing w:after="280" w:afterAutospacing="1"/>
              <w:rPr>
                <w:rStyle w:val="DefaultParagraphFont"/>
                <w:b w:val="0"/>
                <w:sz w:val="24"/>
              </w:rPr>
            </w:pPr>
            <w:r>
              <w:rPr>
                <w:rStyle w:val="DefaultParagraphFont"/>
                <w:b w:val="0"/>
                <w:sz w:val="24"/>
                <w:lang w:val="en-US" w:eastAsia="en-US" w:bidi="ar-SA"/>
              </w:rPr>
              <w:t>Sealing of all repaired and/or exposed concrete surfaces of the deck, substructure, parapets and median with epoxy-urethane sealer.</w:t>
            </w:r>
          </w:p>
          <w:p>
            <w:pPr>
              <w:pStyle w:val="Normal1"/>
              <w:spacing w:after="280" w:afterAutospacing="1"/>
              <w:rPr>
                <w:rStyle w:val="DefaultParagraphFont"/>
                <w:b w:val="0"/>
                <w:sz w:val="24"/>
              </w:rPr>
            </w:pPr>
            <w:r>
              <w:rPr>
                <w:rStyle w:val="DefaultParagraphFont"/>
                <w:b w:val="0"/>
                <w:sz w:val="24"/>
                <w:lang w:val="en-US" w:eastAsia="en-US" w:bidi="ar-SA"/>
              </w:rPr>
              <w:t>Installation of new bridge identification signage.</w:t>
            </w:r>
          </w:p>
          <w:p>
            <w:pPr>
              <w:pStyle w:val="Normal1"/>
              <w:spacing w:after="280" w:afterAutospacing="1"/>
              <w:rPr>
                <w:rStyle w:val="DefaultParagraphFont"/>
                <w:b w:val="0"/>
                <w:sz w:val="24"/>
              </w:rPr>
            </w:pPr>
            <w:r>
              <w:rPr>
                <w:rStyle w:val="DefaultParagraphFont"/>
                <w:b w:val="0"/>
                <w:sz w:val="24"/>
                <w:lang w:val="en-US" w:eastAsia="en-US" w:bidi="ar-SA"/>
              </w:rPr>
              <w:br/>
            </w:r>
          </w:p>
          <w:p>
            <w:pPr>
              <w:pStyle w:val="Normal1"/>
              <w:spacing w:after="280" w:afterAutospacing="1"/>
              <w:rPr>
                <w:rStyle w:val="DefaultParagraphFont"/>
                <w:b w:val="0"/>
                <w:sz w:val="24"/>
              </w:rPr>
            </w:pPr>
          </w:p>
        </w:tc>
      </w:tr>
    </w:tbl>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In the affected two-lane sections of SR 44 and SR 619, a minimum of one ten-foot bi-directional lane shall be maintained on SR 44 and SR 619 during project construction.  In the affected four-lane sections of SR 44 and U.S. Route 62, a minimum of one ten-foot lane shall be maintained in each direction during project construction and lane restrictions/reductions shall not be permitted during normal work hours.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Environmental Commitments, Maintenance of Traffic During Construction</w:t>
      </w:r>
      <w:bookmarkEnd w:id="6"/>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Based on prior environmental clearance and established public involvement best practices, the following Community Notification note shall be included in the construction plan: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Right of Way and Utility Involvement</w:t>
      </w:r>
      <w:bookmarkEnd w:id="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be constructed entirelywithin the existing SR 44, SR 619 and US Route 62 rights-of-way. </w:t>
      </w:r>
    </w:p>
    <w:p>
      <w:pPr>
        <w:pStyle w:val="Normal1"/>
        <w:spacing w:after="280" w:afterAutospacing="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Plan information has been provided to allaffected utility companies as required by Section 153.64 of the Ohio RevisedCode (ORC). Relocation of utility poles, overhead utility lines and undergroundutilities is not required and no existing utilities will bepermanently removed to construct the proposed project.</w:t>
      </w:r>
    </w:p>
    <w:p>
      <w:pPr>
        <w:pStyle w:val="Heading11"/>
        <w:spacing w:after="280" w:afterAutospacing="1"/>
        <w:rPr>
          <w:rStyle w:val="DefaultParagraphFont"/>
          <w:rFonts w:ascii="Calibri" w:eastAsia="Calibri" w:hAnsi="Calibri" w:cs="Calibri"/>
        </w:rPr>
      </w:pPr>
      <w:bookmarkStart w:id="8" w:name="_Toc256000007"/>
      <w:r>
        <w:rPr>
          <w:rStyle w:val="DefaultParagraphFont"/>
          <w:rFonts w:ascii="Calibri" w:eastAsia="Calibri" w:hAnsi="Calibri" w:cs="Calibri"/>
        </w:rPr>
        <w:t>Cultural Resources</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Properties Present</w:t>
      </w:r>
      <w:bookmarkEnd w:id="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Section 106 secondarysource literature review (records check) was conducted for previously recordedcultural resources for the proposed project Area of Potential Effects (APE). Inaddition, Buckeye Assets Mapping was prepared and reviewed for the projectAPE.  See </w:t>
      </w:r>
      <w:r>
        <w:rPr>
          <w:rStyle w:val="DefaultParagraphFont"/>
          <w:rFonts w:ascii="Calibri" w:eastAsia="Calibri" w:hAnsi="Calibri" w:cs="Calibri"/>
          <w:i/>
        </w:rPr>
        <w:t>Records Check.pdf</w:t>
      </w:r>
      <w:r>
        <w:rPr>
          <w:rStyle w:val="DefaultParagraphFont"/>
          <w:rFonts w:ascii="Calibri" w:eastAsia="Calibri" w:hAnsi="Calibri" w:cs="Calibri"/>
        </w:rPr>
        <w:t xml:space="preserve"> and Buckeye Assets Mapping.pdf files in theProject File/Cultural Resources/Project Information subsection.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02/23/2017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accordance with Stipulation 4A of the </w:t>
      </w:r>
      <w:r>
        <w:rPr>
          <w:rStyle w:val="DefaultParagraphFont"/>
          <w:rFonts w:ascii="Calibri" w:eastAsia="Calibri" w:hAnsi="Calibri" w:cs="Calibri"/>
          <w:i/>
        </w:rPr>
        <w:t>Section 106 Programmatic Agreement</w:t>
      </w:r>
      <w:r>
        <w:rPr>
          <w:rStyle w:val="DefaultParagraphFont"/>
          <w:rFonts w:ascii="Calibri" w:eastAsia="Calibri" w:hAnsi="Calibri" w:cs="Calibri"/>
        </w:rPr>
        <w:t xml:space="preserve"> approved on November 30, 2011(Agreement No. 16734), the proposed undertaking has minimal potential to causeeffects to historic properties.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w:t>
            </w:r>
          </w:p>
        </w:tc>
      </w:tr>
    </w:tbl>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Archaeological Resource Adverse Effect</w:t>
      </w:r>
      <w:bookmarkEnd w:id="10"/>
    </w:p>
    <w:p>
      <w:pPr>
        <w:pStyle w:val="Heading31"/>
        <w:keepNext/>
        <w:rPr>
          <w:rStyle w:val="DefaultParagraphFont"/>
          <w:rFonts w:ascii="Calibri" w:eastAsia="Calibri" w:hAnsi="Calibri" w:cs="Calibri"/>
        </w:rPr>
      </w:pPr>
      <w:bookmarkStart w:id="11" w:name="_Toc256000010"/>
      <w:r>
        <w:rPr>
          <w:rStyle w:val="DefaultParagraphFont"/>
          <w:rFonts w:ascii="Calibri" w:eastAsia="Calibri" w:hAnsi="Calibri" w:cs="Calibri"/>
        </w:rPr>
        <w:t>History/Architecture Adverse Effect</w:t>
      </w:r>
      <w:bookmarkEnd w:id="11"/>
    </w:p>
    <w:p>
      <w:pPr>
        <w:pStyle w:val="Heading31"/>
        <w:keepNext/>
        <w:rPr>
          <w:rStyle w:val="DefaultParagraphFont"/>
          <w:rFonts w:ascii="Calibri" w:eastAsia="Calibri" w:hAnsi="Calibri" w:cs="Calibri"/>
        </w:rPr>
      </w:pPr>
      <w:bookmarkStart w:id="12" w:name="_Toc256000011"/>
      <w:r>
        <w:rPr>
          <w:rStyle w:val="DefaultParagraphFont"/>
          <w:rFonts w:ascii="Calibri" w:eastAsia="Calibri" w:hAnsi="Calibri" w:cs="Calibri"/>
        </w:rPr>
        <w:t>Environmental Commitments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2"/>
        <w:rPr>
          <w:rStyle w:val="DefaultParagraphFont"/>
          <w:rFonts w:ascii="Calibri" w:eastAsia="Calibri" w:hAnsi="Calibri" w:cs="Calibri"/>
        </w:rPr>
        <w:sectPr>
          <w:type w:val="nextPage"/>
          <w:pgSz w:w="12240" w:h="15840"/>
          <w:pgMar w:top="1440" w:right="1800" w:bottom="1440" w:left="1800" w:header="708" w:footer="708" w:gutter="0"/>
          <w:cols w:space="708"/>
          <w:titlePg w:val="0"/>
          <w:docGrid w:linePitch="360"/>
        </w:sectPr>
      </w:pPr>
    </w:p>
    <w:p>
      <w:pPr>
        <w:pStyle w:val="Heading12"/>
        <w:rPr>
          <w:rStyle w:val="DefaultParagraphFont"/>
        </w:rPr>
      </w:pPr>
      <w:bookmarkStart w:id="13" w:name="_Toc256000012"/>
      <w:r>
        <w:rPr>
          <w:rStyle w:val="DefaultParagraphFont"/>
          <w:rFonts w:ascii="Calibri" w:eastAsia="Calibri" w:hAnsi="Calibri" w:cs="Calibri"/>
        </w:rPr>
        <w:t>Environmental Commitments</w:t>
      </w:r>
      <w:bookmarkEnd w:id="13"/>
    </w:p>
    <w:p>
      <w:pPr>
        <w:pStyle w:val="Heading32"/>
        <w:keepNext/>
        <w:rPr>
          <w:rStyle w:val="DefaultParagraphFont"/>
          <w:rFonts w:ascii="Calibri" w:eastAsia="Calibri" w:hAnsi="Calibri" w:cs="Calibri"/>
        </w:rPr>
      </w:pPr>
      <w:bookmarkStart w:id="14" w:name="_Toc256000013"/>
      <w:r>
        <w:rPr>
          <w:rStyle w:val="DefaultParagraphFont"/>
          <w:rFonts w:ascii="Calibri" w:eastAsia="Calibri" w:hAnsi="Calibri" w:cs="Calibri"/>
        </w:rPr>
        <w:t>General, Maintenance of Traffic During Construction</w:t>
      </w:r>
      <w:bookmarkEnd w:id="14"/>
    </w:p>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20"/>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Based on prior environmental clearance and established public involvement best practices, the following Community Notification note shall be included in the construction plan: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3"/>
        <w:keepNext/>
        <w:rPr>
          <w:rStyle w:val="DefaultParagraphFont"/>
          <w:rFonts w:ascii="Calibri" w:eastAsia="Calibri" w:hAnsi="Calibri" w:cs="Calibri"/>
        </w:rPr>
      </w:pPr>
      <w:bookmarkStart w:id="15" w:name="_Toc256000014"/>
      <w:r>
        <w:rPr>
          <w:rStyle w:val="DefaultParagraphFont"/>
          <w:rFonts w:ascii="Calibri" w:eastAsia="Calibri" w:hAnsi="Calibri" w:cs="Calibri"/>
        </w:rPr>
        <w:t>Preparers  &amp; Approvals</w:t>
      </w:r>
      <w:bookmarkEnd w:id="15"/>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Form Preparer(s)</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2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20"/>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20"/>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Sean Carpenter</w:t>
            </w:r>
          </w:p>
        </w:tc>
      </w:tr>
    </w:tbl>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Approvals &amp; Electronic Signatures</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3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3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3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3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8, 2017</w:t>
            </w:r>
          </w:p>
        </w:tc>
      </w:tr>
    </w:tbl>
    <w:p>
      <w:pPr>
        <w:pStyle w:val="BodyText3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4"/>
        <w:keepNext/>
        <w:rPr>
          <w:rStyle w:val="DefaultParagraphFont"/>
          <w:rFonts w:ascii="Calibri" w:eastAsia="Calibri" w:hAnsi="Calibri" w:cs="Calibri"/>
        </w:rPr>
      </w:pPr>
      <w:bookmarkStart w:id="18" w:name="_Toc256000017"/>
      <w:r>
        <w:rPr>
          <w:rStyle w:val="DefaultParagraphFont"/>
          <w:rFonts w:ascii="Calibri" w:eastAsia="Calibri" w:hAnsi="Calibri" w:cs="Calibri"/>
        </w:rPr>
        <w:t>Appendix</w:t>
      </w:r>
      <w:bookmarkEnd w:id="18"/>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Uploaded Files by Report Section</w:t>
      </w:r>
      <w:bookmarkEnd w:id="19"/>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Environmental Commitments</w:t>
      </w:r>
      <w:bookmarkEnd w:id="20"/>
    </w:p>
    <w:p>
      <w:pPr>
        <w:pStyle w:val="BodyTextIndent3"/>
        <w:keepNext/>
        <w:rPr>
          <w:rStyle w:val="DefaultParagraphFont"/>
          <w:rFonts w:ascii="Calibri" w:eastAsia="Calibri" w:hAnsi="Calibri" w:cs="Calibri"/>
        </w:rPr>
      </w:pPr>
      <w:r>
        <w:rPr>
          <w:rStyle w:val="DefaultParagraphFont"/>
          <w:rFonts w:ascii="Calibri" w:eastAsia="Calibri" w:hAnsi="Calibri" w:cs="Calibri"/>
        </w:rPr>
        <w:t>Environmental Consultation Form.pdf</w:t>
      </w:r>
    </w:p>
    <w:p>
      <w:pPr>
        <w:pStyle w:val="Heading34"/>
        <w:keepNext/>
        <w:rPr>
          <w:rStyle w:val="DefaultParagraphFont"/>
          <w:rFonts w:ascii="Calibri" w:eastAsia="Calibri" w:hAnsi="Calibri" w:cs="Calibri"/>
        </w:rPr>
      </w:pPr>
      <w:bookmarkStart w:id="21" w:name="_Toc256000020"/>
      <w:r>
        <w:rPr>
          <w:rStyle w:val="DefaultParagraphFont"/>
          <w:rFonts w:ascii="Calibri" w:eastAsia="Calibri" w:hAnsi="Calibri" w:cs="Calibri"/>
        </w:rPr>
        <w:t>General</w:t>
      </w:r>
      <w:bookmarkEnd w:id="21"/>
    </w:p>
    <w:p>
      <w:pPr>
        <w:pStyle w:val="BodyTextIndent3"/>
        <w:keepNext/>
        <w:rPr>
          <w:rStyle w:val="DefaultParagraphFont"/>
          <w:rFonts w:ascii="Calibri" w:eastAsia="Calibri" w:hAnsi="Calibri" w:cs="Calibri"/>
        </w:rPr>
      </w:pPr>
      <w:r>
        <w:rPr>
          <w:rStyle w:val="DefaultParagraphFont"/>
          <w:rFonts w:ascii="Calibri" w:eastAsia="Calibri" w:hAnsi="Calibri" w:cs="Calibri"/>
        </w:rPr>
        <w:t>Final Tracings.pdf</w:t>
      </w:r>
    </w:p>
    <w:p>
      <w:pPr>
        <w:pStyle w:val="Heading34"/>
        <w:keepNext/>
        <w:rPr>
          <w:rStyle w:val="DefaultParagraphFont"/>
          <w:rFonts w:ascii="Calibri" w:eastAsia="Calibri" w:hAnsi="Calibri" w:cs="Calibri"/>
        </w:rPr>
      </w:pPr>
      <w:bookmarkStart w:id="22" w:name="_Toc256000021"/>
      <w:r>
        <w:rPr>
          <w:rStyle w:val="DefaultParagraphFont"/>
          <w:rFonts w:ascii="Calibri" w:eastAsia="Calibri" w:hAnsi="Calibri" w:cs="Calibri"/>
        </w:rPr>
        <w:t>Cultural Resources</w:t>
      </w:r>
      <w:bookmarkEnd w:id="22"/>
    </w:p>
    <w:p>
      <w:pPr>
        <w:pStyle w:val="BodyTextIndent3"/>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3"/>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4"/>
        <w:keepNext/>
        <w:rPr>
          <w:rStyle w:val="DefaultParagraphFont"/>
          <w:rFonts w:ascii="Calibri" w:eastAsia="Calibri" w:hAnsi="Calibri" w:cs="Calibri"/>
        </w:rPr>
      </w:pPr>
      <w:bookmarkStart w:id="23" w:name="_Toc256000022"/>
      <w:r>
        <w:rPr>
          <w:rStyle w:val="DefaultParagraphFont"/>
          <w:rFonts w:ascii="Calibri" w:eastAsia="Calibri" w:hAnsi="Calibri" w:cs="Calibri"/>
        </w:rPr>
        <w:t>Approved Documents</w:t>
      </w:r>
      <w:bookmarkEnd w:id="23"/>
    </w:p>
    <w:p>
      <w:pPr>
        <w:pStyle w:val="BodyTextIndent3"/>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88896 STA SR 0044 13.69</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88896 STA SR 0044 13.69</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88896 STA SR 0044 13.69</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8, 2017</w:t>
          </w:r>
        </w:p>
      </w:tc>
    </w:tr>
  </w:tbl>
  <w:p>
    <w:pPr>
      <w:pStyle w:val="Normal3"/>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88896 STA SR 0044 13.69</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8, 2017</w:t>
          </w:r>
        </w:p>
      </w:tc>
    </w:tr>
  </w:tbl>
  <w:p>
    <w:pPr>
      <w:pStyle w:val="Normal4"/>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88896 STA SR 0044 13.69</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8, 2017</w:t>
          </w:r>
        </w:p>
      </w:tc>
    </w:tr>
  </w:tbl>
  <w:p>
    <w:pPr>
      <w:pStyle w:val="Normal5"/>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4">
    <w:name w:val="Heading 3_4"/>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Normal6">
    <w:name w:val="Normal_6"/>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2017-03-08T05:00:00+00:00</DateCompleted>
    <Internal_x0020_Only xmlns="df873bd8-8520-468a-8ecb-74db49e47217">No</Internal_x0020_Only>
    <FID xmlns="df873bd8-8520-468a-8ecb-74db49e47217">3262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B2F1451-390B-4F33-93E8-40A053466C80}"/>
</file>

<file path=customXml/itemProps2.xml><?xml version="1.0" encoding="utf-8"?>
<ds:datastoreItem xmlns:ds="http://schemas.openxmlformats.org/officeDocument/2006/customXml" ds:itemID="{1796B705-E600-425D-BA55-80318AF13531}"/>
</file>

<file path=customXml/itemProps3.xml><?xml version="1.0" encoding="utf-8"?>
<ds:datastoreItem xmlns:ds="http://schemas.openxmlformats.org/officeDocument/2006/customXml" ds:itemID="{565B65D7-5E22-4B00-BCD0-F967247DAA1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