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Latcha Rd Bridge PID 100386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consists of one bridge located within Lake Township in Wood County, Ohio.  The bridge crosses over Cedar Creek at Latcha Road (T065B-0001). The project area is primarily agricultural with homes relatively close to the culvert crossings.  The proposed work is part of the Ohio Bridge Partnership Program which includes replacing the bridge and additional right of way is needed for a temporary structure used to maintain traffic.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bridge was originally included in the project WOO-CR321/TR102-Var Gp5FY15 (PID 97642), but after challenges arose with the maintenance of traffic that would have occurred during construction, the bridge was moved into the current project and PID.  This allowed for additional right of way to be acquired to allow for a temporary bridge to be constructed and used while the new permanent bridge construction will occur.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The specifications set forth in the most current version of ODOT's Construction and Material Specifications, Location and Design Manual and Standard Drawings will be used to ensure adequate erosion and sediment control during construction.  Disturbed areas will be reseeded.  If an Ohio Environmental Protection Agency (OEPA) Notice of Intent (NOI) is required, the required post construction BMPs shall be included in the design and the NOI form shall be submitted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A mussel survey and relocation in accordance with ODNR and USFWS protocols shall be performed at the project site prior to any in-stream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work in a Zone A floodplain, the contracted designer must submit a letter of compliance (LD-51 Form) and calculations showing that the carrying capacity of Cedar Creek will not change after work is complete. All floodplain regulations shall be followed throughout design and construction.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Cedar Creek which is attached to the plans as Special Provisions.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The specifications set forth in the most current version of ODOT's Construction and Material Specifications, Location and Design Manual and Standard Drawings will be used to ensure adequate erosion and sediment control during construction.  Disturbed areas will be reseeded.  If an Ohio Environmental Protection Agency (OEPA) Notice of Intent (NOI) is required, the required post construction BMPs shall be included in the design and the NOI form shall be submitted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A mussel survey and relocation in accordance with ODNR and USFWS protocols shall be performed at the project site prior to any in-stream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work in a Zone A floodplain, the contracted designer must submit a letter of compliance (LD-51 Form) and calculations showing that the carrying capacity of Cedar Creek will not change after work is complete. All floodplain regulations shall be followed throughout design and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project requires a waterway permit for work within Cedar Creek which is attached to the plans as Special Provisions.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ESR Level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Sent to Agencies.pdf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WOO-Latch Rd PID 100386.pdf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WOO-Latch Rd PID 100386.pdf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Relocation.pdf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Mussel Survey Submittal to ODNR.pdf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Wood County SWAP.docx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Below Poverty.GIF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Population.GIF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Temporary Fill Checklist.pdf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 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PCN Attachments.pdf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Approved Documents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2016-09-08T04:00:00+00:00</DateCompleted>
    <Internal_x0020_Only xmlns="df873bd8-8520-468a-8ecb-74db49e47217">No</Internal_x0020_Only>
    <FID xmlns="df873bd8-8520-468a-8ecb-74db49e47217">5380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838E521-1380-4971-A8A3-7E6B6BDCA406}"/>
</file>

<file path=customXml/itemProps2.xml><?xml version="1.0" encoding="utf-8"?>
<ds:datastoreItem xmlns:ds="http://schemas.openxmlformats.org/officeDocument/2006/customXml" ds:itemID="{08034787-B04C-4456-BF7E-24A7461543DD}"/>
</file>

<file path=customXml/itemProps3.xml><?xml version="1.0" encoding="utf-8"?>
<ds:datastoreItem xmlns:ds="http://schemas.openxmlformats.org/officeDocument/2006/customXml" ds:itemID="{C0E84B05-6DDA-4F4A-853C-8AA69E19430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