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Administrative Re-evaluation</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D12 CU FY2017 PID 99998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3,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Approved Documents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13</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99998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Culvert rehab/replacement: </w:t>
      </w:r>
      <w:r>
        <w:rPr>
          <w:rStyle w:val="DefaultParagraphFont"/>
          <w:rFonts w:ascii="Calibri" w:eastAsia="Calibri" w:hAnsi="Calibri" w:cs="Calibri"/>
        </w:rPr>
        <w:br/>
      </w:r>
      <w:r>
        <w:rPr>
          <w:rStyle w:val="DefaultParagraphFont"/>
          <w:rFonts w:ascii="Calibri" w:eastAsia="Calibri" w:hAnsi="Calibri" w:cs="Calibri"/>
        </w:rPr>
        <w:t xml:space="preserve">CUY-077-05.66; sprayliner </w:t>
      </w:r>
      <w:r>
        <w:rPr>
          <w:rStyle w:val="DefaultParagraphFont"/>
          <w:rFonts w:ascii="Calibri" w:eastAsia="Calibri" w:hAnsi="Calibri" w:cs="Calibri"/>
        </w:rPr>
        <w:br/>
      </w:r>
      <w:r>
        <w:rPr>
          <w:rStyle w:val="DefaultParagraphFont"/>
          <w:rFonts w:ascii="Calibri" w:eastAsia="Calibri" w:hAnsi="Calibri" w:cs="Calibri"/>
        </w:rPr>
        <w:t xml:space="preserve">CUY-176-11.46; replace collapsed portion </w:t>
      </w:r>
      <w:r>
        <w:rPr>
          <w:rStyle w:val="DefaultParagraphFont"/>
          <w:rFonts w:ascii="Calibri" w:eastAsia="Calibri" w:hAnsi="Calibri" w:cs="Calibri"/>
        </w:rPr>
        <w:br/>
      </w:r>
      <w:r>
        <w:rPr>
          <w:rStyle w:val="DefaultParagraphFont"/>
          <w:rFonts w:ascii="Calibri" w:eastAsia="Calibri" w:hAnsi="Calibri" w:cs="Calibri"/>
        </w:rPr>
        <w:t xml:space="preserve">LAK-090-02.90; reinforce and invert pave </w:t>
      </w:r>
      <w:r>
        <w:rPr>
          <w:rStyle w:val="DefaultParagraphFont"/>
          <w:rFonts w:ascii="Calibri" w:eastAsia="Calibri" w:hAnsi="Calibri" w:cs="Calibri"/>
        </w:rPr>
        <w:br/>
      </w:r>
      <w:r>
        <w:rPr>
          <w:rStyle w:val="DefaultParagraphFont"/>
          <w:rFonts w:ascii="Calibri" w:eastAsia="Calibri" w:hAnsi="Calibri" w:cs="Calibri"/>
        </w:rPr>
        <w:t xml:space="preserve">LAK-090-12.74; invert paving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Regional General Permit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09/30/2016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07/26/2016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11/29/2016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Tree Removal AMM 2(a) (OH PBO: A-1). Time of year restrictions for tree removal when bats are not likely to be present - To avoid impacts to summer roosting bats, SWH will be cleared only between 1 October and 31 March, when the species would not be present.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2. Tree Removal AMM 1: Modify all phases/aspects of the project (e.g., temporary work areas, alignments) to avoid tree removal in excess of what is required to implement the project safely.</w:t>
      </w:r>
    </w:p>
    <w:p>
      <w:pPr>
        <w:pStyle w:val="BodyText0"/>
        <w:keepNext/>
        <w:rPr>
          <w:rStyle w:val="DefaultParagraphFont"/>
          <w:rFonts w:ascii="Calibri" w:eastAsia="Calibri" w:hAnsi="Calibri" w:cs="Calibri"/>
        </w:rPr>
      </w:pPr>
      <w:r>
        <w:rPr>
          <w:rStyle w:val="DefaultParagraphFont"/>
          <w:rFonts w:ascii="Calibri" w:eastAsia="Calibri" w:hAnsi="Calibri" w:cs="Calibri"/>
        </w:rPr>
        <w:t>3. Tree Removal AMM 3. Ensure tree removal is limited to that specified in project plans by clearly marking clearing limits. Ensure that contractors understand clearing limits and how they are marked in the field.</w:t>
      </w:r>
    </w:p>
    <w:p>
      <w:pPr>
        <w:pStyle w:val="BodyText0"/>
        <w:keepNext/>
        <w:rPr>
          <w:rStyle w:val="DefaultParagraphFont"/>
          <w:rFonts w:ascii="Calibri" w:eastAsia="Calibri" w:hAnsi="Calibri" w:cs="Calibri"/>
        </w:rPr>
      </w:pPr>
      <w:r>
        <w:rPr>
          <w:rStyle w:val="DefaultParagraphFont"/>
          <w:rFonts w:ascii="Calibri" w:eastAsia="Calibri" w:hAnsi="Calibri" w:cs="Calibri"/>
        </w:rPr>
        <w:t>4. ODOT 2016 Construction and Materials Specifications (CMS) and ODOT Supplemental Specification (SS) 813, SS 832, and SS 913 will be followed as applicable to address the following AMMs:</w:t>
      </w:r>
    </w:p>
    <w:p>
      <w:pPr>
        <w:pStyle w:val="BodyText0"/>
        <w:keepNext/>
        <w:rPr>
          <w:rStyle w:val="DefaultParagraphFont"/>
          <w:rFonts w:ascii="Calibri" w:eastAsia="Calibri" w:hAnsi="Calibri" w:cs="Calibri"/>
        </w:rPr>
      </w:pPr>
      <w:r>
        <w:rPr>
          <w:rStyle w:val="DefaultParagraphFont"/>
          <w:rFonts w:ascii="Calibri" w:eastAsia="Calibri" w:hAnsi="Calibri" w:cs="Calibri"/>
        </w:rPr>
        <w:t>- Lighting AMMs - ODOT SS 813.</w:t>
      </w:r>
    </w:p>
    <w:p>
      <w:pPr>
        <w:pStyle w:val="BodyText0"/>
        <w:keepNext/>
        <w:rPr>
          <w:rStyle w:val="DefaultParagraphFont"/>
          <w:rFonts w:ascii="Calibri" w:eastAsia="Calibri" w:hAnsi="Calibri" w:cs="Calibri"/>
        </w:rPr>
      </w:pPr>
      <w:r>
        <w:rPr>
          <w:rStyle w:val="DefaultParagraphFont"/>
          <w:rFonts w:ascii="Calibri" w:eastAsia="Calibri" w:hAnsi="Calibri" w:cs="Calibri"/>
        </w:rPr>
        <w:t>- Dust Control AMM ¿ ODOT CMS 616.</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 Water Quality, Wetland and Stream Protection AMMs </w:t>
      </w:r>
    </w:p>
    <w:p>
      <w:pPr>
        <w:pStyle w:val="BodyText0"/>
        <w:keepNext/>
        <w:rPr>
          <w:rStyle w:val="DefaultParagraphFont"/>
          <w:rFonts w:ascii="Calibri" w:eastAsia="Calibri" w:hAnsi="Calibri" w:cs="Calibri"/>
        </w:rPr>
      </w:pPr>
      <w:r>
        <w:rPr>
          <w:rStyle w:val="DefaultParagraphFont"/>
          <w:rFonts w:ascii="Calibri" w:eastAsia="Calibri" w:hAnsi="Calibri" w:cs="Calibri"/>
        </w:rPr>
        <w:t>o ODOT CMS 601, ODOT CMS 659,ODOT CMS 670, ODOT CMS 671, ODOT SS 832, ODOT Location and Design Manual, Volume 2;</w:t>
      </w:r>
    </w:p>
    <w:p>
      <w:pPr>
        <w:pStyle w:val="BodyText0"/>
        <w:keepNext/>
        <w:rPr>
          <w:rStyle w:val="DefaultParagraphFont"/>
          <w:rFonts w:ascii="Calibri" w:eastAsia="Calibri" w:hAnsi="Calibri" w:cs="Calibri"/>
        </w:rPr>
      </w:pPr>
      <w:r>
        <w:rPr>
          <w:rStyle w:val="DefaultParagraphFont"/>
          <w:rFonts w:ascii="Calibri" w:eastAsia="Calibri" w:hAnsi="Calibri" w:cs="Calibri"/>
        </w:rPr>
        <w:t>o projects will be developed in full compliance with Sections 404 and 401 of the Clean Water Act and/or Ohio's Isolated Wetland Law;</w:t>
      </w:r>
    </w:p>
    <w:p>
      <w:pPr>
        <w:pStyle w:val="BodyTextIndent0"/>
        <w:keepNext/>
        <w:rPr>
          <w:rStyle w:val="DefaultParagraphFont"/>
          <w:rFonts w:ascii="Calibri" w:eastAsia="Calibri" w:hAnsi="Calibri" w:cs="Calibri"/>
        </w:rPr>
      </w:pPr>
      <w:r>
        <w:rPr>
          <w:rStyle w:val="DefaultParagraphFont"/>
          <w:rFonts w:ascii="Calibri" w:eastAsia="Calibri" w:hAnsi="Calibri" w:cs="Calibri"/>
        </w:rPr>
        <w:t>o compensatory stream and wetland mitigation will be conducted when required, and in accordance with the USACE's Mitigation Rule and Ohio EPA's rules on Water Quality.</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BodyText1"/>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1. Tree Removal AMM 2(a) (OH PBO: A-1). Time of year restrictions for tree removal when bats are not likely to be present - To avoid impacts to summer roosting bats, SWH will be cleared only between 1 October and 31 March, when the species would not be present.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2. Tree Removal AMM 1: Modify all phases/aspects of the project (e.g., temporary work areas, alignments) to avoid tree removal in excess of what is required to implement the project safely.</w:t>
      </w:r>
    </w:p>
    <w:p>
      <w:pPr>
        <w:pStyle w:val="BodyText1"/>
        <w:keepNext/>
        <w:rPr>
          <w:rStyle w:val="DefaultParagraphFont"/>
          <w:rFonts w:ascii="Calibri" w:eastAsia="Calibri" w:hAnsi="Calibri" w:cs="Calibri"/>
        </w:rPr>
      </w:pPr>
      <w:r>
        <w:rPr>
          <w:rStyle w:val="DefaultParagraphFont"/>
          <w:rFonts w:ascii="Calibri" w:eastAsia="Calibri" w:hAnsi="Calibri" w:cs="Calibri"/>
        </w:rPr>
        <w:t>3. Tree Removal AMM 3. Ensure tree removal is limited to that specified in project plans by clearly marking clearing limits. Ensure that contractors understand clearing limits and how they are marked in the field.</w:t>
      </w:r>
    </w:p>
    <w:p>
      <w:pPr>
        <w:pStyle w:val="BodyText1"/>
        <w:keepNext/>
        <w:rPr>
          <w:rStyle w:val="DefaultParagraphFont"/>
          <w:rFonts w:ascii="Calibri" w:eastAsia="Calibri" w:hAnsi="Calibri" w:cs="Calibri"/>
        </w:rPr>
      </w:pPr>
      <w:r>
        <w:rPr>
          <w:rStyle w:val="DefaultParagraphFont"/>
          <w:rFonts w:ascii="Calibri" w:eastAsia="Calibri" w:hAnsi="Calibri" w:cs="Calibri"/>
        </w:rPr>
        <w:t>4. ODOT 2016 Construction and Materials Specifications (CMS) and ODOT Supplemental Specification (SS) 813, SS 832, and SS 913 will be followed as applicable to address the following AMMs:</w:t>
      </w:r>
    </w:p>
    <w:p>
      <w:pPr>
        <w:pStyle w:val="BodyText1"/>
        <w:keepNext/>
        <w:rPr>
          <w:rStyle w:val="DefaultParagraphFont"/>
          <w:rFonts w:ascii="Calibri" w:eastAsia="Calibri" w:hAnsi="Calibri" w:cs="Calibri"/>
        </w:rPr>
      </w:pPr>
      <w:r>
        <w:rPr>
          <w:rStyle w:val="DefaultParagraphFont"/>
          <w:rFonts w:ascii="Calibri" w:eastAsia="Calibri" w:hAnsi="Calibri" w:cs="Calibri"/>
        </w:rPr>
        <w:t>- Lighting AMMs - ODOT SS 813.</w:t>
      </w:r>
    </w:p>
    <w:p>
      <w:pPr>
        <w:pStyle w:val="BodyText1"/>
        <w:keepNext/>
        <w:rPr>
          <w:rStyle w:val="DefaultParagraphFont"/>
          <w:rFonts w:ascii="Calibri" w:eastAsia="Calibri" w:hAnsi="Calibri" w:cs="Calibri"/>
        </w:rPr>
      </w:pPr>
      <w:r>
        <w:rPr>
          <w:rStyle w:val="DefaultParagraphFont"/>
          <w:rFonts w:ascii="Calibri" w:eastAsia="Calibri" w:hAnsi="Calibri" w:cs="Calibri"/>
        </w:rPr>
        <w:t>- Dust Control AMM ¿ ODOT CMS 616.</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 Water Quality, Wetland and Stream Protection AMMs </w:t>
      </w:r>
    </w:p>
    <w:p>
      <w:pPr>
        <w:pStyle w:val="BodyText1"/>
        <w:keepNext/>
        <w:rPr>
          <w:rStyle w:val="DefaultParagraphFont"/>
          <w:rFonts w:ascii="Calibri" w:eastAsia="Calibri" w:hAnsi="Calibri" w:cs="Calibri"/>
        </w:rPr>
      </w:pPr>
      <w:r>
        <w:rPr>
          <w:rStyle w:val="DefaultParagraphFont"/>
          <w:rFonts w:ascii="Calibri" w:eastAsia="Calibri" w:hAnsi="Calibri" w:cs="Calibri"/>
        </w:rPr>
        <w:t>o ODOT CMS 601, ODOT CMS 659,ODOT CMS 670, ODOT CMS 671, ODOT SS 832, ODOT Location and Design Manual, Volume 2;</w:t>
      </w:r>
    </w:p>
    <w:p>
      <w:pPr>
        <w:pStyle w:val="BodyText1"/>
        <w:keepNext/>
        <w:rPr>
          <w:rStyle w:val="DefaultParagraphFont"/>
          <w:rFonts w:ascii="Calibri" w:eastAsia="Calibri" w:hAnsi="Calibri" w:cs="Calibri"/>
        </w:rPr>
      </w:pPr>
      <w:r>
        <w:rPr>
          <w:rStyle w:val="DefaultParagraphFont"/>
          <w:rFonts w:ascii="Calibri" w:eastAsia="Calibri" w:hAnsi="Calibri" w:cs="Calibri"/>
        </w:rPr>
        <w:t>o projects will be developed in full compliance with Sections 404 and 401 of the Clean Water Act and/or Ohio's Isolated Wetland Law;</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o compensatory stream and wetland mitigation will be conducted when required, and in accordance with the USACE's Mitigation Rule and Ohio EPA's rules on Water Quality.</w:t>
      </w:r>
    </w:p>
    <w:p>
      <w:pPr>
        <w:pStyle w:val="Heading12"/>
        <w:keepNext/>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1"/>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p>
      <w:pPr>
        <w:pStyle w:val="Heading31"/>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3,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2"/>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2"/>
        <w:keepNext/>
        <w:rPr>
          <w:rStyle w:val="DefaultParagraphFont"/>
          <w:rFonts w:ascii="Calibri" w:eastAsia="Calibri" w:hAnsi="Calibri" w:cs="Calibri"/>
        </w:rPr>
      </w:pPr>
      <w:bookmarkStart w:id="9" w:name="_Toc256000008"/>
      <w:r>
        <w:rPr>
          <w:rStyle w:val="DefaultParagraphFont"/>
          <w:rFonts w:ascii="Calibri" w:eastAsia="Calibri" w:hAnsi="Calibri" w:cs="Calibri"/>
        </w:rPr>
        <w:t>Environmental Commitments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C2 Approval and Commitments to PM.pdf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Consultation Form.pdf</w:t>
      </w:r>
    </w:p>
    <w:p>
      <w:pPr>
        <w:pStyle w:val="Heading32"/>
        <w:keepNext/>
        <w:rPr>
          <w:rStyle w:val="DefaultParagraphFont"/>
          <w:rFonts w:ascii="Calibri" w:eastAsia="Calibri" w:hAnsi="Calibri" w:cs="Calibri"/>
        </w:rPr>
      </w:pPr>
      <w:bookmarkStart w:id="10" w:name="_Toc256000009"/>
      <w:r>
        <w:rPr>
          <w:rStyle w:val="DefaultParagraphFont"/>
          <w:rFonts w:ascii="Calibri" w:eastAsia="Calibri" w:hAnsi="Calibri" w:cs="Calibri"/>
        </w:rPr>
        <w:t>Noise</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Determination No Noise Impacts.pdf</w:t>
      </w:r>
    </w:p>
    <w:p>
      <w:pPr>
        <w:pStyle w:val="Heading32"/>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Effect Historic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App A Approval.pdf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106 Req GEA-88-4.79 PID 99998.pdf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106 Req GEA-88-5.95.pdf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10 Req GEA-88-5.57 PID 99998.pdf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106 Req GEA-528-14.34.pdf</w:t>
      </w:r>
    </w:p>
    <w:p>
      <w:pPr>
        <w:pStyle w:val="Heading32"/>
        <w:keepNext/>
        <w:rPr>
          <w:rStyle w:val="DefaultParagraphFont"/>
          <w:rFonts w:ascii="Calibri" w:eastAsia="Calibri" w:hAnsi="Calibri" w:cs="Calibri"/>
        </w:rPr>
      </w:pPr>
      <w:bookmarkStart w:id="12" w:name="_Toc256000011"/>
      <w:r>
        <w:rPr>
          <w:rStyle w:val="DefaultParagraphFont"/>
          <w:rFonts w:ascii="Calibri" w:eastAsia="Calibri" w:hAnsi="Calibri" w:cs="Calibri"/>
        </w:rPr>
        <w:t>Ecological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LAK-90-2.90 PID 99998.pdf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 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CUY-77-5.66 PID 99998.pdf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LAK-90-12.74 PID 99998.pdf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CUY-176-11.46 PID 99998.pdf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 3.pdf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Approval-3.pdf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 Form LAK-90-2.90 PID 99998.pdf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 Form CUY-176-11.46 PID 99998.pdf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 Form LAK-90-12.74 PID 99998.pdf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GEA-88-4.79 PID 99998.pdf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GEA-88-5.95 PID 99998.pdf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GEA-88-5.57.pdf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GEA-528-14.34 PID 99998.pdf</w:t>
      </w:r>
    </w:p>
    <w:p>
      <w:pPr>
        <w:pStyle w:val="Heading32"/>
        <w:keepNext/>
        <w:rPr>
          <w:rStyle w:val="DefaultParagraphFont"/>
          <w:rFonts w:ascii="Calibri" w:eastAsia="Calibri" w:hAnsi="Calibri" w:cs="Calibri"/>
        </w:rPr>
      </w:pPr>
      <w:bookmarkStart w:id="13" w:name="_Toc256000012"/>
      <w:r>
        <w:rPr>
          <w:rStyle w:val="DefaultParagraphFont"/>
          <w:rFonts w:ascii="Calibri" w:eastAsia="Calibri" w:hAnsi="Calibri" w:cs="Calibri"/>
        </w:rPr>
        <w:t>Environmental Justice</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EJ Documentation Form.pdf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2"/>
        <w:keepNext/>
        <w:rPr>
          <w:rStyle w:val="DefaultParagraphFont"/>
          <w:rFonts w:ascii="Calibri" w:eastAsia="Calibri" w:hAnsi="Calibri" w:cs="Calibri"/>
        </w:rPr>
      </w:pPr>
      <w:bookmarkStart w:id="14" w:name="_Toc256000013"/>
      <w:r>
        <w:rPr>
          <w:rStyle w:val="DefaultParagraphFont"/>
          <w:rFonts w:ascii="Calibri" w:eastAsia="Calibri" w:hAnsi="Calibri" w:cs="Calibri"/>
        </w:rPr>
        <w:t>Public Involvement</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Notification Letter LAK-90-1274.pdf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Notification Letter LAK-90-0290.pdf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CUY-77-5.66.pdf</w:t>
      </w:r>
    </w:p>
    <w:p>
      <w:pPr>
        <w:pStyle w:val="Heading32"/>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Regional General Permit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Special Provisions.pdf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PDR Checklist CUY-77-5.66.pdf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PDR Checklist CUY-77-5.66 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PDR Checklist CUY-176-11.46.pdf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PDR Checklist LAK-90-2.90.pdf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PDR Checklist LAK-90-12.74.pdf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PDR Checklist CUY-176-11.46 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PDR Checklist LAK-90-12.74 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CUY-77-5.66 FEMA FIRM.docx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CUY-176-11.46 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CUY-77-5.66 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LAK-90-2.09 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LAK-90-12.74 FEMA FIRM.pdf</w:t>
      </w:r>
    </w:p>
    <w:p>
      <w:pPr>
        <w:pStyle w:val="Heading32"/>
        <w:keepNext/>
        <w:rPr>
          <w:rStyle w:val="DefaultParagraphFont"/>
          <w:rFonts w:ascii="Calibri" w:eastAsia="Calibri" w:hAnsi="Calibri" w:cs="Calibri"/>
        </w:rPr>
      </w:pPr>
      <w:bookmarkStart w:id="16" w:name="_Toc256000015"/>
      <w:r>
        <w:rPr>
          <w:rStyle w:val="DefaultParagraphFont"/>
          <w:rFonts w:ascii="Calibri" w:eastAsia="Calibri" w:hAnsi="Calibri" w:cs="Calibri"/>
        </w:rPr>
        <w:t>Approved Documents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Approved CE.docx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14</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14</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Administrative Re-evaluation</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99998 D12 CU FY2017</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Administrative Re-evaluation</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99998 D12 CU FY2017</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Administrative Re-evaluation</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99998 D12 CU FY2017</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Administrative Re-evaluation</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99998 D12 CU FY2017</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Administrative Re-evaluation</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99998 D12 CU FY2017</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1">
    <w:name w:val="Heading 3_1"/>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2">
    <w:name w:val="Heading 3_2"/>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2017-08-03T04:00:00+00:00</DateCompleted>
    <Internal_x0020_Only xmlns="df873bd8-8520-468a-8ecb-74db49e47217">No</Internal_x0020_Only>
    <FID xmlns="df873bd8-8520-468a-8ecb-74db49e47217">6521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387F45FF-1AF0-45C5-9365-A23BA7E71621}"/>
</file>

<file path=customXml/itemProps2.xml><?xml version="1.0" encoding="utf-8"?>
<ds:datastoreItem xmlns:ds="http://schemas.openxmlformats.org/officeDocument/2006/customXml" ds:itemID="{A5ACA8E5-7284-41E6-8026-9BB3F983A5F1}"/>
</file>

<file path=customXml/itemProps3.xml><?xml version="1.0" encoding="utf-8"?>
<ds:datastoreItem xmlns:ds="http://schemas.openxmlformats.org/officeDocument/2006/customXml" ds:itemID="{D7DFF3A0-7C4F-4D68-B4C5-34B60F65F0E0}"/>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 2.docx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