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295 0.02 Bridge PID 96225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96225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jc w:val="left"/>
        <w:rPr>
          <w:rStyle w:val="DefaultParagraphFont"/>
          <w:rFonts w:ascii="Calibri" w:eastAsia="Calibri" w:hAnsi="Calibri" w:cs="Calibri"/>
        </w:rPr>
      </w:pPr>
      <w:r>
        <w:rPr>
          <w:rStyle w:val="DefaultParagraphFont"/>
          <w:rFonts w:ascii="Calibri" w:eastAsia="Calibri" w:hAnsi="Calibri" w:cs="Calibri"/>
        </w:rPr>
        <w:t xml:space="preserve">The proposed project includes bridge maintenance on the State Route 295 bridge over the Maumee River in Grand Rapids, Wood County, Ohio.  Work involves replacing the bridge parapets, sidewalks, deck overlay, and converting the abutments to semi-integral due to a low bridge rating. Catch basins and guardrails near the ends of the bridges will also be fixed/replaced and the pavement at the bridge approaches will be repaired/replaced as noted on the plans. </w:t>
      </w:r>
    </w:p>
    <w:p>
      <w:pPr>
        <w:pStyle w:val="Normal1"/>
        <w:spacing w:after="280" w:afterAutospacing="1"/>
        <w:jc w:val="left"/>
        <w:rPr>
          <w:rStyle w:val="DefaultParagraphFont"/>
          <w:rFonts w:ascii="Calibri" w:eastAsia="Calibri" w:hAnsi="Calibri" w:cs="Calibri"/>
        </w:rPr>
      </w:pPr>
      <w:r>
        <w:rPr>
          <w:rStyle w:val="DefaultParagraphFont"/>
          <w:rFonts w:ascii="Calibri" w:eastAsia="Calibri" w:hAnsi="Calibri" w:cs="Calibri"/>
        </w:rPr>
        <w:t>No work will be performed below the Ordinary High Water Mark (OHWM) of the Maumee River so no waterway permits are needed.  Coordination with the US Coast Guard (USCG) was completed which confirmed this and is included in the project file. The approach work is located within a special flood hazard area however there will be no impact to the floodplain, as shown in the project file.  The coordination completed with the Ohio Department of Natural Resources (ODNR) Scenic Rivers is included in the project file and all their comments have been addressed either through commitments or additional coordination.  Coordination was done with the City of Toledo Metroparks and ODNR for the adjacent Providence Metropark and General Store which is a Section 4(f) and 6(f) resource.  The coordination is shown in the project file and addressed all their comments.</w:t>
      </w:r>
      <w:r>
        <w:rPr>
          <w:rStyle w:val="DefaultParagraphFont"/>
          <w:rFonts w:ascii="Calibri" w:eastAsia="Calibri" w:hAnsi="Calibri" w:cs="Calibri"/>
          <w:shd w:val="solid" w:color="FFFFFF" w:fill="auto"/>
        </w:rPr>
        <w:t>   Alternate access to the Ludwig Mill and corresponding Historic District will be maintained and clearly signed. </w:t>
      </w:r>
      <w:r>
        <w:rPr>
          <w:rStyle w:val="DefaultParagraphFont"/>
          <w:rFonts w:ascii="Calibri" w:eastAsia="Calibri" w:hAnsi="Calibri" w:cs="Calibri"/>
        </w:rPr>
        <w:t xml:space="preserve"> In addition, the work falls withinAppendix A for undertakings with Minimal Potential to Cause Effect.   A closure detour will be posted for 60 days during construction. </w:t>
      </w:r>
      <w:r>
        <w:rPr>
          <w:rStyle w:val="DefaultParagraphFont"/>
          <w:rFonts w:ascii="Calibri" w:eastAsia="Calibri" w:hAnsi="Calibri" w:cs="Calibri"/>
          <w:shd w:val="solid" w:color="FFFFFF" w:fill="auto"/>
        </w:rPr>
        <w:t>Coordination was completed with the public, local emergency services, police, and schools, as shown in the project file.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6(f) Conversion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 Determination: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Temporary Non-Conforming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 Determination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 including the Maumee River and canal.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Access to the Providence Metropark General Store will be maintained at all times, except for the time needed for temporary occupancy of the property and/or temporary access restrictions and/or closures needed to facilitate construction activities.  Closure of the park access shall be less than 6 months in duration.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Temporary construction fencing will be installed along proposed construction limits prior to the start of construction activities to protect the 4(f) property and the public.  This includes entrances to the Providence Metropark General Store parking lot north of the Maumee River on the east side of SR 295 and the entrance for maintenance vehicles on the west side of SR 295.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Appropriate signage will be installed along the roadways, within the park, and along the Towpath Trail to alert users of temporary access restrictions and/or closures, in order to direct users to the main Providence Metropark parking lot and Towpath Trail along the canal in order to access the General Store.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staging and/or storage of construction equipment will not take place outside proposed construction limits, within Providence Metropark property boundaries.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9. The contractor will closely coordinate the construction schedule and signage needs within the park with Metroparks of the Toledo Area.</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10. Closure of the park entrances shall occur after school ends but before the Village of Grand Rapids Apple Butter Festival and last approximately 4 weeks.</w:t>
      </w:r>
    </w:p>
    <w:p>
      <w:pPr>
        <w:pStyle w:val="BodyText0"/>
        <w:keepNext/>
        <w:rPr>
          <w:rStyle w:val="DefaultParagraphFont"/>
          <w:rFonts w:ascii="Calibri" w:eastAsia="Calibri" w:hAnsi="Calibri" w:cs="Calibri"/>
        </w:rPr>
      </w:pPr>
      <w:r>
        <w:rPr>
          <w:rStyle w:val="DefaultParagraphFont"/>
          <w:rFonts w:ascii="Calibri" w:eastAsia="Calibri" w:hAnsi="Calibri" w:cs="Calibri"/>
        </w:rPr>
        <w:t>11.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No material shall be disposed of within 1000 feet of the top of bank of the Maumee State Scenic River.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13.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14. The vertical and horizontal clearances for the navigational channel of the bridge shall not change and shall remain open at all times during construction.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 including the Maumee River and canal.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Access to the Providence Metropark General Store will be maintained at all times, except for the time needed for temporary occupancy of the property and/or temporary access restrictions and/or closures needed to facilitate construction activities.  Closure of the park access shall be less than 6 months in duration.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Temporary construction fencing will be installed along proposed construction limits prior to the start of construction activities to protect the 4(f) property and the public.  This includes entrances to the Providence Metropark General Store parking lot north of the Maumee River on the east side of SR 295 and the entrance for maintenance vehicles on the west side of SR 295.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Appropriate signage will be installed along the roadways, within the park, and along the Towpath Trail to alert users of temporary access restrictions and/or closures, in order to direct users to the main Providence Metropark parking lot and Towpath Trail along the canal in order to access the General Store.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staging and/or storage of construction equipment will not take place outside proposed construction limits, within Providence Metropark property boundaries.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9. The contractor will closely coordinate the construction schedule and signage needs within the park with Metroparks of the Toledo Area.</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10. Closure of the park entrances shall occur after school ends but before the Village of Grand Rapids Apple Butter Festival and last approximately 4 weeks.</w:t>
      </w:r>
    </w:p>
    <w:p>
      <w:pPr>
        <w:pStyle w:val="BodyText1"/>
        <w:keepNext/>
        <w:rPr>
          <w:rStyle w:val="DefaultParagraphFont"/>
          <w:rFonts w:ascii="Calibri" w:eastAsia="Calibri" w:hAnsi="Calibri" w:cs="Calibri"/>
        </w:rPr>
      </w:pPr>
      <w:r>
        <w:rPr>
          <w:rStyle w:val="DefaultParagraphFont"/>
          <w:rFonts w:ascii="Calibri" w:eastAsia="Calibri" w:hAnsi="Calibri" w:cs="Calibri"/>
        </w:rPr>
        <w:t>11.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No material shall be disposed of within 1000 feet of the top of bank of the Maumee State Scenic River.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13.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14. The vertical and horizontal clearances for the navigational channel of the bridge shall not change and shall remain open at all times during construction.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6(f)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 Temporary Non-Conforming Use.pdf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General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WOO-295-0002.pdf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 Reno form WOO-295-0002.doc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Section 4(f) 6(f)</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WOO-295-0.02 Bridge PID (96225) Section 6(f)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Justice</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Public Involvement</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Trustee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Trustee Notification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Village Admin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School Comment and 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Fire Department Comment and 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Recipients.pdf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Chamber of Commerce Comment and 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21" w:name="_Toc256000020"/>
      <w:r>
        <w:rPr>
          <w:rStyle w:val="DefaultParagraphFont"/>
          <w:rFonts w:ascii="Calibri" w:eastAsia="Calibri" w:hAnsi="Calibri" w:cs="Calibri"/>
        </w:rPr>
        <w:t>Permits</w:t>
      </w:r>
      <w:bookmarkEnd w:id="21"/>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 2.pdf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96225 WOO SR 295 0.02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96225 WOO SR 295 0.02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96225 WOO SR 295 0.02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96225 WOO SR 295 0.02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96225 WOO SR 295 0.02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2016-12-29T05:00:00+00:00</DateCompleted>
    <Internal_x0020_Only xmlns="df873bd8-8520-468a-8ecb-74db49e47217">No</Internal_x0020_Only>
    <FID xmlns="df873bd8-8520-468a-8ecb-74db49e47217">4838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5E5FCD1-A7F5-42D0-8D92-26209DC3AD1E}"/>
</file>

<file path=customXml/itemProps2.xml><?xml version="1.0" encoding="utf-8"?>
<ds:datastoreItem xmlns:ds="http://schemas.openxmlformats.org/officeDocument/2006/customXml" ds:itemID="{FA25ECF2-99FB-4D50-B61F-D5E2EE7A4268}"/>
</file>

<file path=customXml/itemProps3.xml><?xml version="1.0" encoding="utf-8"?>
<ds:datastoreItem xmlns:ds="http://schemas.openxmlformats.org/officeDocument/2006/customXml" ds:itemID="{B5E502A1-E020-4804-A08D-8684FED5AF9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