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US 0422 00.00 PID 81639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81639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ofTransportation (ODOT) proposes to mill, repair and resurface 1.77 miles of U. S. Route422 from approximately 0.17 mile south of the Portage/Geauga County Line(Straight Line Mile [SLM] 0.17) to the Portage/Trumbull County Line (SLM 1.94)in Nelson Township, Portage County, Ohio. As part of the proposed transportation improvement project, thefollowing culverts will be replaced:</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POR-422-0.22 (Culvert File Number [CFN] 674220040); 12-inch vitrified clay pipe.</w:t>
      </w:r>
    </w:p>
    <w:p>
      <w:pPr>
        <w:pStyle w:val="Normal1"/>
        <w:numPr>
          <w:ilvl w:val="0"/>
          <w:numId w:val="19"/>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POR-422-0.27 (CFN 674220050); 42-inch steel pipe with plastic pipe extension.</w:t>
      </w:r>
    </w:p>
    <w:p>
      <w:pPr>
        <w:pStyle w:val="Normal1"/>
        <w:numPr>
          <w:ilvl w:val="0"/>
          <w:numId w:val="19"/>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POR-422-0.74 (CFN 674220110); 15-inch corrugated metal pipe.</w:t>
      </w:r>
    </w:p>
    <w:p>
      <w:pPr>
        <w:pStyle w:val="Normal1"/>
        <w:numPr>
          <w:ilvl w:val="0"/>
          <w:numId w:val="19"/>
        </w:numPr>
        <w:spacing w:before="0" w:beforeAutospacing="0" w:after="280" w:afterAutospacing="1"/>
        <w:ind w:left="0" w:right="0"/>
        <w:rPr>
          <w:rStyle w:val="DefaultParagraphFont"/>
          <w:rFonts w:ascii="Calibri" w:eastAsia="Calibri" w:hAnsi="Calibri" w:cs="Calibri"/>
        </w:rPr>
      </w:pPr>
      <w:r>
        <w:rPr>
          <w:rStyle w:val="DefaultParagraphFont"/>
          <w:rFonts w:ascii="Calibri" w:eastAsia="Calibri" w:hAnsi="Calibri" w:cs="Calibri"/>
        </w:rPr>
        <w:t>POR-422-0.84 (CFN 674220130); 12-inch corrugated plastic pipe.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All work shall beperformed within existing U. S. Route 422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Replacement of CulvertNumbers POR-422-0.22, POR-422-0.27 and POR-422-00.84 will permanently and temporarily impact a total of 315 linear feet totwo (2) jurisdictional streams and replacement of Culvert Numbers POR-422-0.27 and POR-422-0.74will permanently and temporarily impact a total of 25 linear feet to one jurisdictional ditch.  No excavation, grading, orfilling operations shall be performed in any wetlands. Under no circumstancesshall the contractor store equipment and/or materials in any wetlands, streamsor jurisdictional ditches or other waters of the United States.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total of 0.15 acre ofpotential suitable wooded habitat (SWH) was identified within the projectconstruction limits. SWH areas are characterized as forested areas &gt;0.5acre or areas &lt;0.5 acre that had trees with suitable bat roostingcharacteristics and also within 1,000 feet of larger forestedareas.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Level 1 EcologicalSurvey Report was prepared for the proposed project in June 2016. This reportaddressed the replacement of the POR-422-0.22, POR-422-0.74 and POR-422-0.84culverts. Replacement of</w:t>
      </w:r>
      <w:r>
        <w:rPr>
          <w:rStyle w:val="DefaultParagraphFont"/>
          <w:rFonts w:ascii="Calibri" w:eastAsia="Calibri" w:hAnsi="Calibri" w:cs="Calibri"/>
        </w:rPr>
        <w:t xml:space="preserve"> </w:t>
      </w:r>
      <w:r>
        <w:rPr>
          <w:rStyle w:val="DefaultParagraphFont"/>
          <w:rFonts w:ascii="Calibri" w:eastAsia="Calibri" w:hAnsi="Calibri" w:cs="Calibri"/>
        </w:rPr>
        <w:t xml:space="preserve">the POR-422-0.27 culvertwas added to the project scope and a second Level 1 Ecological Survey Reportwas prepared for the proposed project in September 2016.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ODOT Office ofEnvironmental Services (OES) notified the U.S. Fish and Wildlife Services(USFWS) of the project by the Ecological Memorandum of Agreement Between theOhio Department of Transportation, The Ohio Department of Natural Resources,and the United States Fish and Wildlife Service for Interagency CoordinationFor Projects Which Require Consultation Under the Endangered Species Act,Impact State Listed Species, and/or Modify Jurisdictional Waters 2016(Ecological MOA) project notification correspondence, dated June 30, 2016, and September 30, 2016.  In accordance with the Ecological MOA, coordinationwith the Ohio Department of Natural Resources (ODNR) is not required for thisproject.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Special flood hazard areas are not present in proximity to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minimum of one 10-footlane will be maintained in each direction on U. S. Route 422 during pavingoperations.  A maximum of two directional closures, one closure of the eastboundlanes and one separate closure of the westbound lanes, are required on U. S. Route422 during culvert replacement operations.  The ODOT District 4 PublicInformation Office released a news release for the project on May 25, 2016, andfinal project maintenance of traffic information was submitted to localemergency and public services (public/private EMS, police, fire, schools, etc.)by electronic mail correspondence, dated November 10, 2016.</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notreceived as a result of the public involvement activities conducted for theproject.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3.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BodyText0"/>
        <w:keepNext/>
        <w:rPr>
          <w:rStyle w:val="DefaultParagraphFont"/>
          <w:rFonts w:ascii="Calibri" w:eastAsia="Calibri" w:hAnsi="Calibri" w:cs="Calibri"/>
        </w:rPr>
      </w:pPr>
      <w:r>
        <w:rPr>
          <w:rStyle w:val="DefaultParagraphFont"/>
          <w:rFonts w:ascii="Calibri" w:eastAsia="Calibri" w:hAnsi="Calibri" w:cs="Calibri"/>
        </w:rPr>
        <w:t>4.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Any material that does fall into the stream and/or wetlands shall be removed as soon as possible within 72-hours.</w:t>
      </w:r>
    </w:p>
    <w:p>
      <w:pPr>
        <w:pStyle w:val="BodyText0"/>
        <w:keepNext/>
        <w:rPr>
          <w:rStyle w:val="DefaultParagraphFont"/>
          <w:rFonts w:ascii="Calibri" w:eastAsia="Calibri" w:hAnsi="Calibri" w:cs="Calibri"/>
        </w:rPr>
      </w:pPr>
      <w:r>
        <w:rPr>
          <w:rStyle w:val="DefaultParagraphFont"/>
          <w:rFonts w:ascii="Calibri" w:eastAsia="Calibri" w:hAnsi="Calibri" w:cs="Calibri"/>
        </w:rPr>
        <w:t>8. All materials removed from streams and/or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0"/>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11. No excavation, grading, or filling operations shall be performed in any wetlands.  Best management practices shall be employed to avoid impact to wetlands located in proximity of the project construction limits.  Under no circumstances shall the contractor store equipment and/or materials in any wetlands, streams or jurisdictional ditches or other waters of the United States.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3.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BodyText1"/>
        <w:keepNext/>
        <w:rPr>
          <w:rStyle w:val="DefaultParagraphFont"/>
          <w:rFonts w:ascii="Calibri" w:eastAsia="Calibri" w:hAnsi="Calibri" w:cs="Calibri"/>
        </w:rPr>
      </w:pPr>
      <w:r>
        <w:rPr>
          <w:rStyle w:val="DefaultParagraphFont"/>
          <w:rFonts w:ascii="Calibri" w:eastAsia="Calibri" w:hAnsi="Calibri" w:cs="Calibri"/>
        </w:rPr>
        <w:t>4.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Any material that does fall into the stream and/or wetlands shall be removed as soon as possible within 72-hours.</w:t>
      </w:r>
    </w:p>
    <w:p>
      <w:pPr>
        <w:pStyle w:val="BodyText1"/>
        <w:keepNext/>
        <w:rPr>
          <w:rStyle w:val="DefaultParagraphFont"/>
          <w:rFonts w:ascii="Calibri" w:eastAsia="Calibri" w:hAnsi="Calibri" w:cs="Calibri"/>
        </w:rPr>
      </w:pPr>
      <w:r>
        <w:rPr>
          <w:rStyle w:val="DefaultParagraphFont"/>
          <w:rFonts w:ascii="Calibri" w:eastAsia="Calibri" w:hAnsi="Calibri" w:cs="Calibri"/>
        </w:rPr>
        <w:t>8. All materials removed from streams and/or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1"/>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11. No excavation, grading, or filling operations shall be performed in any wetlands.  Best management practices shall be employed to avoid impact to wetlands located in proximity of the project construction limits.  Under no circumstances shall the contractor store equipment and/or materials in any wetlands, streams or jurisdictional ditches or other waters of the United States.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Edward Deley, </w:t>
            </w: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Mike Krokonko</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POR-422-00.17 PID 81639.pdf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POR-422-00.17 PID 81639.pdf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POR-422-0.17 PID 81639.pdf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POR-422-0 17 PID 81639.pdf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Agency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Stakeholder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Contact 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81639 POR US 0422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81639 POR US 0422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81639 POR US 0422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81639 POR US 0422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81639 POR US 0422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2016-11-16T05:00:00+00:00</DateCompleted>
    <Internal_x0020_Only xmlns="df873bd8-8520-468a-8ecb-74db49e47217">No</Internal_x0020_Only>
    <FID xmlns="df873bd8-8520-468a-8ecb-74db49e47217">5261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BA49223-8B51-41F4-97BE-9FA84650D96B}"/>
</file>

<file path=customXml/itemProps2.xml><?xml version="1.0" encoding="utf-8"?>
<ds:datastoreItem xmlns:ds="http://schemas.openxmlformats.org/officeDocument/2006/customXml" ds:itemID="{5C3F46E2-997F-4FB5-9A45-352880040FA0}"/>
</file>

<file path=customXml/itemProps3.xml><?xml version="1.0" encoding="utf-8"?>
<ds:datastoreItem xmlns:ds="http://schemas.openxmlformats.org/officeDocument/2006/customXml" ds:itemID="{002E72C3-779C-4A58-BB22-47601E8BB28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