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GEA US 422 13.04 Intersection PID 80963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34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35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38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42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46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80963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GEA US 422 13.04 Intersection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12-TRAFFIC</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9, 15 &amp; 32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$271,086.00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$151,989.00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$776,000.50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jc w:val="left"/>
        <w:rPr>
          <w:rStyle w:val="DefaultParagraphFont"/>
          <w:rFonts w:ascii="Calibri" w:eastAsia="Calibri" w:hAnsi="Calibri" w:cs="Calibri"/>
        </w:rPr>
      </w:pPr>
      <w:r>
        <w:rPr>
          <w:rStyle w:val="DefaultParagraphFont"/>
          <w:rFonts w:ascii="Calibri" w:eastAsia="Calibri" w:hAnsi="Calibri" w:cs="Calibri"/>
          <w:sz w:val="24"/>
        </w:rPr>
        <w:t>The project involves safety improvements at intersection of US-</w:t>
      </w:r>
      <w:r>
        <w:rPr>
          <w:rStyle w:val="DefaultParagraphFont"/>
          <w:rFonts w:ascii="Calibri" w:eastAsia="Calibri" w:hAnsi="Calibri" w:cs="Calibri"/>
          <w:sz w:val="24"/>
        </w:rPr>
        <w:t>422 and SR-</w:t>
      </w:r>
      <w:r>
        <w:rPr>
          <w:rStyle w:val="DefaultParagraphFont"/>
          <w:rFonts w:ascii="Calibri" w:eastAsia="Calibri" w:hAnsi="Calibri" w:cs="Calibri"/>
          <w:sz w:val="24"/>
        </w:rPr>
        <w:t xml:space="preserve">700 in Troy Township. The </w:t>
      </w:r>
      <w:r>
        <w:rPr>
          <w:rStyle w:val="DefaultParagraphFont"/>
          <w:rFonts w:ascii="Calibri" w:eastAsia="Calibri" w:hAnsi="Calibri" w:cs="Calibri"/>
          <w:sz w:val="24"/>
        </w:rPr>
        <w:t>project will add turn lanes to US-</w:t>
      </w:r>
      <w:r>
        <w:rPr>
          <w:rStyle w:val="DefaultParagraphFont"/>
          <w:rFonts w:ascii="Calibri" w:eastAsia="Calibri" w:hAnsi="Calibri" w:cs="Calibri"/>
          <w:sz w:val="24"/>
        </w:rPr>
        <w:t>422 east and west of the SR-</w:t>
      </w:r>
      <w:r>
        <w:rPr>
          <w:rStyle w:val="DefaultParagraphFont"/>
          <w:rFonts w:ascii="Calibri" w:eastAsia="Calibri" w:hAnsi="Calibri" w:cs="Calibri"/>
          <w:sz w:val="24"/>
        </w:rPr>
        <w:t>700 Intersection. Additional right-</w:t>
      </w:r>
      <w:r>
        <w:rPr>
          <w:rStyle w:val="DefaultParagraphFont"/>
          <w:rFonts w:ascii="Calibri" w:eastAsia="Calibri" w:hAnsi="Calibri" w:cs="Calibri"/>
          <w:sz w:val="24"/>
        </w:rPr>
        <w:t>of-</w:t>
      </w:r>
      <w:r>
        <w:rPr>
          <w:rStyle w:val="DefaultParagraphFont"/>
          <w:rFonts w:ascii="Calibri" w:eastAsia="Calibri" w:hAnsi="Calibri" w:cs="Calibri"/>
          <w:sz w:val="24"/>
        </w:rPr>
        <w:t>way</w:t>
      </w:r>
      <w:r>
        <w:rPr>
          <w:rStyle w:val="DefaultParagraphFont"/>
          <w:rFonts w:ascii="Calibri" w:eastAsia="Calibri" w:hAnsi="Calibri" w:cs="Calibri"/>
          <w:sz w:val="24"/>
        </w:rPr>
        <w:t xml:space="preserve">will be needed from the southwest quadrant of the US </w:t>
      </w:r>
      <w:r>
        <w:rPr>
          <w:rStyle w:val="DefaultParagraphFont"/>
          <w:rFonts w:ascii="Calibri" w:eastAsia="Calibri" w:hAnsi="Calibri" w:cs="Calibri"/>
          <w:sz w:val="24"/>
        </w:rPr>
        <w:t xml:space="preserve">422/SR </w:t>
      </w:r>
      <w:r>
        <w:rPr>
          <w:rStyle w:val="DefaultParagraphFont"/>
          <w:rFonts w:ascii="Calibri" w:eastAsia="Calibri" w:hAnsi="Calibri" w:cs="Calibri"/>
          <w:sz w:val="24"/>
        </w:rPr>
        <w:t xml:space="preserve">700 Intersection. The project will require </w:t>
      </w:r>
      <w:r>
        <w:rPr>
          <w:rStyle w:val="DefaultParagraphFont"/>
          <w:rFonts w:ascii="Calibri" w:eastAsia="Calibri" w:hAnsi="Calibri" w:cs="Calibri"/>
          <w:sz w:val="24"/>
        </w:rPr>
        <w:t>approximately 12 to 15 feet of property from the south side of US-</w:t>
      </w:r>
      <w:r>
        <w:rPr>
          <w:rStyle w:val="DefaultParagraphFont"/>
          <w:rFonts w:ascii="Calibri" w:eastAsia="Calibri" w:hAnsi="Calibri" w:cs="Calibri"/>
          <w:sz w:val="24"/>
        </w:rPr>
        <w:t>422 for approximately 825 feet west of</w:t>
      </w:r>
      <w:r>
        <w:rPr>
          <w:rStyle w:val="DefaultParagraphFont"/>
          <w:rFonts w:ascii="Calibri" w:eastAsia="Calibri" w:hAnsi="Calibri" w:cs="Calibri"/>
          <w:sz w:val="24"/>
        </w:rPr>
        <w:t>the US-</w:t>
      </w:r>
      <w:r>
        <w:rPr>
          <w:rStyle w:val="DefaultParagraphFont"/>
          <w:rFonts w:ascii="Calibri" w:eastAsia="Calibri" w:hAnsi="Calibri" w:cs="Calibri"/>
          <w:sz w:val="24"/>
        </w:rPr>
        <w:t>422/SR-</w:t>
      </w:r>
      <w:r>
        <w:rPr>
          <w:rStyle w:val="DefaultParagraphFont"/>
          <w:rFonts w:ascii="Calibri" w:eastAsia="Calibri" w:hAnsi="Calibri" w:cs="Calibri"/>
          <w:sz w:val="24"/>
        </w:rPr>
        <w:t>700 Intersection and 725 feet east of the US-</w:t>
      </w:r>
      <w:r>
        <w:rPr>
          <w:rStyle w:val="DefaultParagraphFont"/>
          <w:rFonts w:ascii="Calibri" w:eastAsia="Calibri" w:hAnsi="Calibri" w:cs="Calibri"/>
          <w:sz w:val="24"/>
        </w:rPr>
        <w:t>422/SR-</w:t>
      </w:r>
      <w:r>
        <w:rPr>
          <w:rStyle w:val="DefaultParagraphFont"/>
          <w:rFonts w:ascii="Calibri" w:eastAsia="Calibri" w:hAnsi="Calibri" w:cs="Calibri"/>
          <w:sz w:val="24"/>
        </w:rPr>
        <w:t>700 Intersection. Minor right-</w:t>
      </w:r>
      <w:r>
        <w:rPr>
          <w:rStyle w:val="DefaultParagraphFont"/>
          <w:rFonts w:ascii="Calibri" w:eastAsia="Calibri" w:hAnsi="Calibri" w:cs="Calibri"/>
          <w:sz w:val="24"/>
        </w:rPr>
        <w:t>of-</w:t>
      </w:r>
      <w:r>
        <w:rPr>
          <w:rStyle w:val="DefaultParagraphFont"/>
          <w:rFonts w:ascii="Calibri" w:eastAsia="Calibri" w:hAnsi="Calibri" w:cs="Calibri"/>
          <w:sz w:val="24"/>
        </w:rPr>
        <w:t xml:space="preserve">way </w:t>
      </w:r>
      <w:r>
        <w:rPr>
          <w:rStyle w:val="DefaultParagraphFont"/>
          <w:rFonts w:ascii="Calibri" w:eastAsia="Calibri" w:hAnsi="Calibri" w:cs="Calibri"/>
          <w:sz w:val="24"/>
        </w:rPr>
        <w:t>will be needed from the northwest corner of the US-</w:t>
      </w:r>
      <w:r>
        <w:rPr>
          <w:rStyle w:val="DefaultParagraphFont"/>
          <w:rFonts w:ascii="Calibri" w:eastAsia="Calibri" w:hAnsi="Calibri" w:cs="Calibri"/>
          <w:sz w:val="24"/>
        </w:rPr>
        <w:t>422/SR-</w:t>
      </w:r>
      <w:r>
        <w:rPr>
          <w:rStyle w:val="DefaultParagraphFont"/>
          <w:rFonts w:ascii="Calibri" w:eastAsia="Calibri" w:hAnsi="Calibri" w:cs="Calibri"/>
          <w:sz w:val="24"/>
        </w:rPr>
        <w:t>700 Intersection to improve turning radius for trucks.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Troy Township; At SR-700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12.94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13.14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w:t>
            </w:r>
          </w:p>
        </w:tc>
      </w:tr>
    </w:tbl>
    <w:p>
      <w:pPr>
        <w:pStyle w:val="Heading30"/>
        <w:keepNext/>
        <w:rPr>
          <w:rStyle w:val="DefaultParagraphFont"/>
          <w:rFonts w:ascii="Calibri" w:eastAsia="Calibri" w:hAnsi="Calibri" w:cs="Calibri"/>
          <w:sz w:val="24"/>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US00422</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15230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2019</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17240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2039</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1540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Rolling</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 and turning</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ODOT attended a Troy Township Trustees Meeting and invited emergency services and the local school district.  The proposed  Maintenance of Traffic was discussed and no negative comments were submitted in the public comment sheets or in the meeting discussion.  See Project File/Public Information for all the Trustees' meeting information.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Under no circumstance are Temporary Right-of-way Easements to be used for storage of materials or equipment by the contractor unless noted otherwise.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is responsible for notifying all local, county, state and federal emergency services and every effected school facility of any anticipated road/ramp closures at least fourteen (14) days before the closure. Specifically, the road closure notice must disclose 1) the exact portion of the road to be closed 2) the date of the anticipated closure 3) the duration of the closure 4) and the detour route(s). A copy of this notification must be presented at the preconstruction meeting. The contractor is also responsible for notifying the project engineer when, including date and time the notification is distributed. A copy of the notification must be sent to ODOT communications.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Under no circumstance are Temporary Right-of-way Easements to be used for storage of materials or equipment by the contractor unless noted otherwise.  </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0.237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0.298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 District 12 is currently in coordination with the utility agencies regarding the proposed project.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TheProject area is located on US Route 422 (US-422) at its intersection with StateRoute (SR) 700 (Claridon-Troy Road) in Troy Township, Geauga, Ohio.   US-422is classified as a Rural Principal Arterial with a 2012 Average Daily Traffic(ADT) of 15,100.  The project locationwas listed in the Safe, Accountable, Flexible, Efficient Transportation EquityAct (SAFETEA-LU) in October 2006 SAFETEA-LU, as Earmark ID OH173 byRepresentative LaTourette for the construction of safety improvements at theintersection of US 422 and SR 700 in Geauga County, Ohio.  See the Earmark Status Report in the Project File/Project Documentation/Earmark Status Report.pdf..</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sz w:val="24"/>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Thepurpose of this project is to reduce congestion and to improve safety at theintersection of US 422 and SR 700.</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arial" w:eastAsia="arial" w:hAnsi="arial" w:cs="arial"/>
          <w:sz w:val="20"/>
        </w:rPr>
        <w:t>Congestion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Deficienciesare present at the US-422/SR-700 intersection during the afternoon peak hour, especiallyin the eastbound direction. The AM Peak Hour Traffic at the intersection is alsosubstandard with LOS D.   According to the GEA-422-10.93/13.31 CorridorStudy, the volume to capacity ratio of the EB approach is 1.10 during the PMpeak, which is 10% over capacity. The Level of Services in the EB PM Peak is anLOS F.  See Table 3 in theGEA-422-10.93/13.31 Corridor Study.  ODOT'sLocation and Design Manual Volume 1 recommend a minimum LOS C for ruralintersections.  In theGEA-422-10.93/13.31 Corridor Study, extended queues were documented on US Route422 during PM peak approaching SR-700 in the eastbound direction. These queuesextended west of the Cuyahoga River crossing (5100 feet from the SR- 700intersection).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GEA-422-10.93/13.31Corridor Study stated "Steep vertical grade of 7 percent exists along US-422approaching SR-700 in the eastbound direction. The steep grade affects trucksto have longer start up loss times from a stopped condition, resulting in muchlonger delays and travel times in that section of US Route 422."  US -422 has 13% truck traffic during peakhours.</w:t>
      </w:r>
    </w:p>
    <w:p>
      <w:pPr>
        <w:pStyle w:val="Normal3"/>
        <w:spacing w:after="280" w:afterAutospacing="1"/>
        <w:rPr>
          <w:rStyle w:val="DefaultParagraphFont"/>
          <w:rFonts w:ascii="Calibri" w:eastAsia="Calibri" w:hAnsi="Calibri" w:cs="Calibri"/>
        </w:rPr>
      </w:pPr>
      <w:r>
        <w:rPr>
          <w:rStyle w:val="DefaultParagraphFont"/>
          <w:rFonts w:ascii="arial" w:eastAsia="arial" w:hAnsi="arial" w:cs="arial"/>
          <w:sz w:val="20"/>
        </w:rPr>
        <w:t>Safety</w:t>
      </w:r>
    </w:p>
    <w:p>
      <w:pPr>
        <w:pStyle w:val="Normal3"/>
        <w:spacing w:after="280" w:afterAutospacing="1"/>
        <w:rPr>
          <w:rStyle w:val="DefaultParagraphFont"/>
          <w:rFonts w:ascii="Times New Roman" w:eastAsia="Times New Roman" w:hAnsi="Times New Roman" w:cs="Times New Roman"/>
        </w:rPr>
      </w:pPr>
      <w:r>
        <w:rPr>
          <w:rStyle w:val="DefaultParagraphFont"/>
          <w:rFonts w:ascii="Times New Roman" w:eastAsia="Times New Roman" w:hAnsi="Times New Roman" w:cs="Times New Roman"/>
        </w:rPr>
        <w:t xml:space="preserve">According to the GEA-422-10.93/13.31 CorridorStudy, eighteen crashes have been recorded from 2011 to 2013 at the SR-700intersection within the study period. Crash types include nine rear-end (5 - eastbound, 4 - westbound), angle (4 crashes) and left turn (2 crashes).  These types of crashes can be attributed to congestion and the left turning vehicles are in the travel lanes. The project had been identified earlier in 2003 GEA-422 Corridor Study and later in ODOT's Safety Program Crash Priority List (2013).  See the list in Project File/Purpose and Need/Existing and Future Conditions/GEA-422-10.93 Corridor Study.pdf.  The SR-700 and US-422 Intersection was ranked #142 in the ODOT 2013 HSIP Priority Location Top 500 List.  See the list in Project File/Purpose and Need/Existing and Future Conditions/2013 HSIP Priority Location Top 500 List.pdf.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Goal for the intersection is to improve Pedestrian Facilities.  The current configuration does not include pedestrian facilities.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this project is to reduce congestion and to improve safety at the intersection of US 422 and SR 700.</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Theproject had been identified earlier in 2003 GEA-422 Corridor Study and later inODOT's Safety Program Crash Priority List (2013).  See the list in Project File/Purpose and Need/Existing and Future Conditions/2013 HSIP Priority Location Top 500 List.pdf.  See the list in Project File/Purpose and Need/Existing and Future Conditions/GEA-422-10.93 Corridor Study.pdf.</w:t>
      </w:r>
      <w:r>
        <w:rPr>
          <w:rStyle w:val="DefaultParagraphFont"/>
          <w:rFonts w:ascii="Calibri" w:eastAsia="Calibri" w:hAnsi="Calibri" w:cs="Calibri"/>
        </w:rPr>
        <w:t>  The Project is listed in the 2016-2019 STIPin State Line Item 9, 15 and 32</w:t>
      </w:r>
      <w:r>
        <w:rPr>
          <w:rStyle w:val="DefaultParagraphFont"/>
          <w:rFonts w:ascii="Calibri" w:eastAsia="Calibri" w:hAnsi="Calibri" w:cs="Calibri"/>
        </w:rPr>
        <w: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 Build Option does not address the Congestion problems discussed in the Purpose and Need Statement.  The no build would not construct the left turn lanes and traffic on US-422 would continue to cause significant queuing  of vehicles in peak hour traffic.  The rear-end accidents, discussed in the Purpose and Need Statement,  would not decrease.  The traffic turning left on US-422 would still be in the travel lane as they wait to turn and the rear end and side swipe accidents would not be addressed.    In addition, the No-build provides no relief to the long delay time due to stopped trucks going eastbound up the 7% grade hill to SR-700.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Build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Constructing Left turn lanes on US-422 on the eastbound and westbound lanes.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was not dismissed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Build Alternative does address the Congestion problems discussed in the Purpose and Need Statement.  The Build Alternative would construct the left turn lanes and traffic on US-422 move the vehicles turning left into the dedicated left turn lane and allow traffic to move through the intersection.  This would alleviate the significant queuing  of vehicles during peak hour traffic.  The rear-end accidents, discussed in the Purpose and Need Statement,  would improve by moving the vehicles into the dedicated left turn lane and out of the travel lane.  The turn lanes would allow trucks to move through the intersection instead of waiting for vehicles to turn left and starting and stopping on an incline.   </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 type is listed as exempt under CFR 93.126 as a Highway Safety Improvement Program implementation.</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Geauga County is in attainment for Particulate Matter 2.5.</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Geauga County is identified as moderate for the 8-hour ozone non-attainment areas (2008 standard):</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"https://www3.epa.gov/airquality/greenbook/gmcs.html" \l "OHIO"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u w:val="single"/>
        </w:rPr>
        <w:t>https://www3.epa.gov/airquality/greenbook/gmcs.html#OHIO</w:t>
      </w:r>
    </w:p>
    <w:p>
      <w:pPr>
        <w:pStyle w:val="Normal5"/>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rPr>
        <w:fldChar w:fldCharType="end"/>
      </w:r>
    </w:p>
    <w:p>
      <w:pPr>
        <w:pStyle w:val="Heading33"/>
        <w:keepNext/>
        <w:rPr>
          <w:rStyle w:val="DefaultParagraphFont"/>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The project is not a Type I project for noise, i.e. does not add capacity, a new highway on new location, significantly change the horizontal or vertical alignment, or add an auxiliary lane, therefore, a noise analysis is not required.</w:t>
      </w:r>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Site 1:  PPN 32-056500</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17740 Claridon-Troy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3: PPN 32-067100</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13905 Main Market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05/31/2016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The Phase II ESA investigation for Site 3 tested the three monitoring wells on the property.  The testing detected VOC's but did not exceed drinking water standards.  OES concurred in the 8/22/16 IOC that no further ESA investigation or plan note is warranted.  See the 8/22/16 IOC from OES in the ESA/Coordination/ Phase 2 ESA IOC.pdf.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3" w:name="_Toc256000022"/>
      <w:r>
        <w:rPr>
          <w:rStyle w:val="DefaultParagraphFont"/>
          <w:rFonts w:ascii="Calibri" w:eastAsia="Calibri" w:hAnsi="Calibri" w:cs="Calibri"/>
        </w:rPr>
        <w:t>Cultural Resources</w:t>
      </w:r>
      <w:bookmarkEnd w:id="23"/>
    </w:p>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Properties Present</w:t>
      </w:r>
      <w:bookmarkEnd w:id="2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 District 12 Staff prepared a Section 106 Requested for Review on 3/17/15.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jc w:val="left"/>
        <w:rPr>
          <w:rStyle w:val="DefaultParagraphFont"/>
          <w:rFonts w:ascii="Arial" w:eastAsia="Arial" w:hAnsi="Arial" w:cs="Arial"/>
          <w:i/>
          <w:color w:val="1B1B1B"/>
          <w:sz w:val="20"/>
        </w:rPr>
      </w:pPr>
      <w:r>
        <w:rPr>
          <w:rStyle w:val="DefaultParagraphFont"/>
          <w:rFonts w:ascii="Arial" w:eastAsia="Arial" w:hAnsi="Arial" w:cs="Arial"/>
          <w:i/>
          <w:color w:val="1B1B1B"/>
          <w:sz w:val="20"/>
        </w:rPr>
        <w:t xml:space="preserve">Per the 1/27/16 IOCfrom OES, In accordance with 36 CFR§ 800.4{d)(1) and </w:t>
      </w:r>
      <w:r>
        <w:rPr>
          <w:rStyle w:val="DefaultParagraphFont"/>
          <w:rFonts w:ascii="Arial" w:eastAsia="Arial" w:hAnsi="Arial" w:cs="Arial"/>
          <w:i/>
          <w:color w:val="1B1B1B"/>
          <w:sz w:val="20"/>
        </w:rPr>
        <w:t xml:space="preserve">the ProgrammaticAgreement Among The Federal </w:t>
      </w:r>
      <w:r>
        <w:rPr>
          <w:rStyle w:val="DefaultParagraphFont"/>
          <w:rFonts w:ascii="Arial" w:eastAsia="Arial" w:hAnsi="Arial" w:cs="Arial"/>
          <w:i/>
          <w:color w:val="1B1B1B"/>
          <w:sz w:val="20"/>
        </w:rPr>
        <w:t xml:space="preserve">Highway </w:t>
      </w:r>
      <w:r>
        <w:rPr>
          <w:rStyle w:val="DefaultParagraphFont"/>
          <w:rFonts w:ascii="Arial" w:eastAsia="Arial" w:hAnsi="Arial" w:cs="Arial"/>
          <w:i/>
          <w:color w:val="1B1B1B"/>
          <w:sz w:val="20"/>
        </w:rPr>
        <w:t xml:space="preserve">Administration,The Advisory Council On Historic Preservation, The Ohio Historical Society,State Historic Preservation Office, And The State of Ohio, Department ofTransportation Regarding The Implementation Of The Federal-Aid Highway Program </w:t>
      </w:r>
      <w:r>
        <w:rPr>
          <w:rStyle w:val="DefaultParagraphFont"/>
          <w:rFonts w:ascii="Arial" w:eastAsia="Arial" w:hAnsi="Arial" w:cs="Arial"/>
          <w:i/>
          <w:color w:val="1B1B1B"/>
          <w:sz w:val="20"/>
        </w:rPr>
        <w:t xml:space="preserve">In </w:t>
      </w:r>
      <w:r>
        <w:rPr>
          <w:rStyle w:val="DefaultParagraphFont"/>
          <w:rFonts w:ascii="Arial" w:eastAsia="Arial" w:hAnsi="Arial" w:cs="Arial"/>
          <w:i/>
          <w:color w:val="1B1B1B"/>
          <w:sz w:val="20"/>
        </w:rPr>
        <w:t xml:space="preserve">Ohio {Agreement No. 16734}, </w:t>
      </w:r>
      <w:r>
        <w:rPr>
          <w:rStyle w:val="DefaultParagraphFont"/>
          <w:rFonts w:ascii="Arial" w:eastAsia="Arial" w:hAnsi="Arial" w:cs="Arial"/>
          <w:i/>
          <w:color w:val="1B1B1B"/>
          <w:sz w:val="20"/>
        </w:rPr>
        <w:t>executed November 30, 2011, the ODOT</w:t>
      </w:r>
      <w:r>
        <w:rPr>
          <w:rStyle w:val="DefaultParagraphFont"/>
          <w:rFonts w:ascii="Arial" w:eastAsia="Arial" w:hAnsi="Arial" w:cs="Arial"/>
          <w:i/>
          <w:color w:val="1B1B1B"/>
          <w:sz w:val="20"/>
        </w:rPr>
        <w:t xml:space="preserve"> </w:t>
      </w:r>
      <w:r>
        <w:rPr>
          <w:rStyle w:val="DefaultParagraphFont"/>
          <w:rFonts w:ascii="Arial" w:eastAsia="Arial" w:hAnsi="Arial" w:cs="Arial"/>
          <w:i/>
          <w:color w:val="1B1B1B"/>
          <w:sz w:val="20"/>
        </w:rPr>
        <w:t>Office of Environmental Services has determined:</w:t>
      </w:r>
    </w:p>
    <w:p>
      <w:pPr>
        <w:pStyle w:val="Normal8"/>
        <w:spacing w:after="0" w:afterAutospacing="0"/>
        <w:rPr>
          <w:rStyle w:val="DefaultParagraphFont"/>
          <w:rFonts w:ascii="Arial" w:eastAsia="Arial" w:hAnsi="Arial" w:cs="Arial"/>
          <w:i/>
          <w:color w:val="1B1B1B"/>
          <w:sz w:val="20"/>
        </w:rPr>
      </w:pPr>
      <w:r>
        <w:rPr>
          <w:rStyle w:val="DefaultParagraphFont"/>
          <w:rFonts w:ascii="Arial" w:eastAsia="Arial" w:hAnsi="Arial" w:cs="Arial"/>
          <w:i/>
          <w:color w:val="1B1B1B"/>
          <w:sz w:val="20"/>
        </w:rPr>
        <w:t>No historic architectural properties will beaffected by the undertaking.</w:t>
      </w:r>
    </w:p>
    <w:p>
      <w:pPr>
        <w:pStyle w:val="Normal8"/>
        <w:spacing w:after="0" w:afterAutospacing="0"/>
        <w:rPr>
          <w:rStyle w:val="DefaultParagraphFont"/>
          <w:rFonts w:ascii="Arial" w:eastAsia="Arial" w:hAnsi="Arial" w:cs="Arial"/>
          <w:i/>
          <w:color w:val="1B1B1B"/>
          <w:sz w:val="20"/>
        </w:rPr>
      </w:pPr>
      <w:r>
        <w:rPr>
          <w:rStyle w:val="DefaultParagraphFont"/>
          <w:rFonts w:ascii="Arial" w:eastAsia="Arial" w:hAnsi="Arial" w:cs="Arial"/>
          <w:i/>
          <w:color w:val="1B1B1B"/>
          <w:sz w:val="20"/>
        </w:rPr>
        <w:t>The area has been disturbed by modern development.</w:t>
      </w:r>
    </w:p>
    <w:p>
      <w:pPr>
        <w:pStyle w:val="Normal8"/>
        <w:spacing w:after="280" w:afterAutospacing="1"/>
        <w:rPr>
          <w:rStyle w:val="DefaultParagraphFont"/>
          <w:rFonts w:ascii="Arial" w:eastAsia="Arial" w:hAnsi="Arial" w:cs="Arial"/>
          <w:i/>
          <w:color w:val="1B1B1B"/>
          <w:sz w:val="20"/>
        </w:rPr>
      </w:pPr>
      <w:r>
        <w:rPr>
          <w:rStyle w:val="DefaultParagraphFont"/>
          <w:rFonts w:ascii="Arial" w:eastAsia="Arial" w:hAnsi="Arial" w:cs="Arial"/>
          <w:i/>
          <w:color w:val="1B1B1B"/>
          <w:sz w:val="20"/>
        </w:rPr>
        <w:t>No further cultural resource investigations are warranted.</w:t>
      </w:r>
    </w:p>
    <w:p>
      <w:pPr>
        <w:pStyle w:val="Normal8"/>
        <w:spacing w:after="280" w:afterAutospacing="1"/>
        <w:jc w:val="left"/>
        <w:rPr>
          <w:rStyle w:val="DefaultParagraphFont"/>
          <w:rFonts w:ascii="Arial" w:eastAsia="Arial" w:hAnsi="Arial" w:cs="Arial"/>
          <w:i/>
          <w:color w:val="1B1B1B"/>
          <w:sz w:val="20"/>
        </w:rPr>
      </w:pPr>
      <w:r>
        <w:rPr>
          <w:rStyle w:val="DefaultParagraphFont"/>
          <w:rFonts w:ascii="Times New Roman" w:eastAsia="Times New Roman" w:hAnsi="Times New Roman" w:cs="Times New Roman"/>
          <w:i/>
          <w:color w:val="000000"/>
          <w:sz w:val="24"/>
        </w:rPr>
        <w:t>See the 5/19/16 IOC from OES In the Project File/ Cultural Resources/Coordination/OES Approval - No Historic Properties Affected.pdf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Arial" w:eastAsia="Arial" w:hAnsi="Arial" w:cs="Arial"/>
          <w:i/>
          <w:color w:val="1B1B1B"/>
          <w:sz w:val="20"/>
        </w:rPr>
      </w:pPr>
      <w:bookmarkStart w:id="25" w:name="_Toc256000024"/>
      <w:r>
        <w:rPr>
          <w:rStyle w:val="DefaultParagraphFont"/>
          <w:rFonts w:ascii="Calibri" w:eastAsia="Calibri" w:hAnsi="Calibri" w:cs="Calibri"/>
        </w:rPr>
        <w:t>Archaeological Resource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History/Architecture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Environmental Commitments</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8" w:name="_Toc256000027"/>
      <w:r>
        <w:rPr>
          <w:rStyle w:val="DefaultParagraphFont"/>
          <w:rFonts w:ascii="Calibri" w:eastAsia="Calibri" w:hAnsi="Calibri" w:cs="Calibri"/>
        </w:rPr>
        <w:t>Ecological</w:t>
      </w:r>
      <w:bookmarkEnd w:id="28"/>
    </w:p>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ESR</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11/30/2015</w:t>
            </w: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Wetlands </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wetlands were identified during the 7/13/15 ODOT District 12 field review and the 11/30/15 Ecological Survey Report.  </w:t>
      </w:r>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Streams &amp; Rivers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streams or rivers were identified during the 7/13/15 ODOT District 12 field review and the 11/30/15 Ecological Survey Report.  </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Other Surface Waters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reservoirs, lakes, pond, storm water management facilities or jurisdictional ditch were identified during the 7/13/15 ODOT District 12 field review and the 11/30/15 Ecological Survey Report.  </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Terrestrial Habitat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remove 0.32 acre of wooded habitat per the 11/30/15 Ecological Survey Report.  </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Threatened or Endangered Species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Federally Listed Species and the 11/30/15 Ecological Survey Report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closest Bald Eagle (Haliaeetus leucoocphalus) recorded nesting site was located 3.4 miles from the project area.  No impact to the Bald Eagle or its habitat is anticipated.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For all projects that will impact suitable roosting habitat for the Indiana bat </w:t>
      </w:r>
      <w:r>
        <w:rPr>
          <w:rStyle w:val="DefaultParagraphFont"/>
          <w:rFonts w:ascii="Calibri" w:eastAsia="Calibri" w:hAnsi="Calibri" w:cs="Calibri"/>
          <w:i/>
        </w:rPr>
        <w:t xml:space="preserve">Myotis sodalist </w:t>
      </w:r>
      <w:r>
        <w:rPr>
          <w:rStyle w:val="DefaultParagraphFont"/>
          <w:rFonts w:ascii="Calibri" w:eastAsia="Calibri" w:hAnsi="Calibri" w:cs="Calibri"/>
        </w:rPr>
        <w:t xml:space="preserve">and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xml:space="preserve"> , USFWS has included the following comments: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 1:  Clearing of all trees to be impacted by this project shall be performed only between October 1 and March 31.</w:t>
      </w:r>
    </w:p>
    <w:p>
      <w:pPr>
        <w:pStyle w:val="Normal9"/>
        <w:spacing w:after="280" w:afterAutospacing="1"/>
        <w:rPr>
          <w:rStyle w:val="DefaultParagraphFont"/>
          <w:rFonts w:ascii="Calibri" w:eastAsia="Calibri" w:hAnsi="Calibri" w:cs="Calibri"/>
        </w:rPr>
      </w:pPr>
      <w:r>
        <w:rPr>
          <w:rStyle w:val="DefaultParagraphFont"/>
          <w:rFonts w:ascii="arial" w:eastAsia="arial" w:hAnsi="arial" w:cs="arial"/>
        </w:rPr>
        <w:t>Tree clearing of all trees over 3" dbh that are proposed for impact for this project will be cleared only between October 1 and March 31.</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 2:  For all projects that involve tree clearing:  if tree clearing is to occur prior to the issuance of the 404/401 permits, that Section 7 consultation for that project must be completed and that tree clearing cannot commence until both the USACE and Ohio EPA anticipate that the permits authorizing the project as a whole are imminent. </w:t>
      </w:r>
    </w:p>
    <w:p>
      <w:pPr>
        <w:pStyle w:val="Normal9"/>
        <w:spacing w:after="280" w:afterAutospacing="1"/>
        <w:rPr>
          <w:rStyle w:val="DefaultParagraphFont"/>
          <w:rFonts w:ascii="Calibri" w:eastAsia="Calibri" w:hAnsi="Calibri" w:cs="Calibri"/>
        </w:rPr>
      </w:pPr>
      <w:r>
        <w:rPr>
          <w:rStyle w:val="DefaultParagraphFont"/>
          <w:rFonts w:ascii="arial" w:eastAsia="arial" w:hAnsi="arial" w:cs="arial"/>
        </w:rPr>
        <w:t>Tree removal will not occur until consultation with USFWS has been completed, and waterway permits (if required) have been submitted to USACE and Ohio EPA.</w:t>
      </w:r>
    </w:p>
    <w:p>
      <w:pPr>
        <w:pStyle w:val="Normal9"/>
        <w:spacing w:after="280" w:afterAutospacing="1"/>
        <w:rPr>
          <w:rStyle w:val="DefaultParagraphFont"/>
          <w:rFonts w:ascii="Calibri" w:eastAsia="Calibri" w:hAnsi="Calibri" w:cs="Calibri"/>
        </w:rPr>
      </w:pPr>
      <w:r>
        <w:rPr>
          <w:rStyle w:val="DefaultParagraphFont"/>
          <w:rFonts w:ascii="arial" w:eastAsia="arial" w:hAnsi="arial" w:cs="arial"/>
          <w:u w:val="single"/>
        </w:rPr>
        <w:t>State Listed Species</w:t>
      </w:r>
    </w:p>
    <w:p>
      <w:pPr>
        <w:pStyle w:val="Normal9"/>
        <w:spacing w:after="280" w:afterAutospacing="1"/>
        <w:jc w:val="left"/>
        <w:rPr>
          <w:rStyle w:val="DefaultParagraphFont"/>
          <w:rFonts w:ascii="Calibri" w:eastAsia="Calibri" w:hAnsi="Calibri" w:cs="Calibri"/>
          <w:sz w:val="15"/>
        </w:rPr>
      </w:pPr>
      <w:r>
        <w:rPr>
          <w:rStyle w:val="DefaultParagraphFont"/>
          <w:rFonts w:ascii="arial" w:eastAsia="arial" w:hAnsi="arial" w:cs="arial"/>
          <w:sz w:val="24"/>
        </w:rPr>
        <w:t>The Prothonotary Warbler is the only cavity-nesting warbler, this species is an inhabitant of wooded swamps. Overall, this species is uncommon, and not found away from breeding sites. Their diet consists of insects and snails. This closest known sighting of the Prothonotary Warbler is 0.7 miles West of the project location. No nesting habitat for this species will be impacted by this project.</w:t>
      </w:r>
      <w:r>
        <w:rPr>
          <w:rStyle w:val="DefaultParagraphFont"/>
          <w:rFonts w:ascii="arial" w:eastAsia="arial" w:hAnsi="arial" w:cs="arial"/>
          <w:sz w:val="15"/>
        </w:rPr>
        <w:t xml:space="preserve"> </w:t>
      </w:r>
    </w:p>
    <w:p>
      <w:pPr>
        <w:pStyle w:val="Normal9"/>
        <w:spacing w:after="280" w:afterAutospacing="1"/>
        <w:jc w:val="left"/>
        <w:rPr>
          <w:rStyle w:val="DefaultParagraphFont"/>
          <w:rFonts w:ascii="Calibri" w:eastAsia="Calibri" w:hAnsi="Calibri" w:cs="Calibri"/>
          <w:sz w:val="15"/>
        </w:rPr>
      </w:pPr>
      <w:r>
        <w:rPr>
          <w:rStyle w:val="DefaultParagraphFont"/>
          <w:rFonts w:ascii="arial" w:eastAsia="arial" w:hAnsi="arial" w:cs="arial"/>
          <w:sz w:val="24"/>
        </w:rPr>
        <w:t xml:space="preserve">This native species of sweetflag is found in the northern U.S. and Canada. This species is found along mucky shorelines of lakes and in emergent wetlands. The more common </w:t>
      </w:r>
      <w:r>
        <w:rPr>
          <w:rStyle w:val="DefaultParagraphFont"/>
          <w:rFonts w:ascii="arial" w:eastAsia="arial" w:hAnsi="arial" w:cs="arial"/>
          <w:i/>
          <w:sz w:val="24"/>
        </w:rPr>
        <w:t xml:space="preserve">Acorus calamus </w:t>
      </w:r>
      <w:r>
        <w:rPr>
          <w:rStyle w:val="DefaultParagraphFont"/>
          <w:rFonts w:ascii="arial" w:eastAsia="arial" w:hAnsi="arial" w:cs="arial"/>
          <w:sz w:val="24"/>
        </w:rPr>
        <w:t>is a non-native sterile triploid.  A known sighting of the American Sweet-flag is approximately 0.7 miles Southwest of the project location in the woodlands. No wetlands are located directly adjacent to this project and no wetlands will be impacted by this project.</w:t>
      </w:r>
      <w:r>
        <w:rPr>
          <w:rStyle w:val="DefaultParagraphFont"/>
          <w:rFonts w:ascii="Calibri" w:eastAsia="Calibri" w:hAnsi="Calibri" w:cs="Calibri"/>
          <w:sz w:val="15"/>
        </w:rPr>
        <w:t xml:space="preserve"> </w:t>
      </w:r>
    </w:p>
    <w:p>
      <w:pPr>
        <w:pStyle w:val="Normal9"/>
        <w:spacing w:after="280" w:afterAutospacing="1"/>
        <w:rPr>
          <w:rStyle w:val="DefaultParagraphFont"/>
          <w:rFonts w:ascii="Calibri" w:eastAsia="Calibri" w:hAnsi="Calibri" w:cs="Calibri"/>
          <w:sz w:val="15"/>
        </w:rPr>
      </w:pPr>
      <w:r>
        <w:rPr>
          <w:rStyle w:val="DefaultParagraphFont"/>
          <w:rFonts w:ascii="Calibri" w:eastAsia="Calibri" w:hAnsi="Calibri" w:cs="Calibri"/>
          <w:sz w:val="15"/>
        </w:rPr>
        <w:br/>
      </w:r>
    </w:p>
    <w:p>
      <w:pPr>
        <w:pStyle w:val="Normal9"/>
        <w:spacing w:after="280" w:afterAutospacing="1"/>
        <w:rPr>
          <w:rStyle w:val="DefaultParagraphFont"/>
          <w:rFonts w:ascii="Calibri" w:eastAsia="Calibri" w:hAnsi="Calibri" w:cs="Calibri"/>
          <w:sz w:val="15"/>
        </w:rPr>
      </w:pPr>
      <w:r>
        <w:rPr>
          <w:rStyle w:val="DefaultParagraphFont"/>
          <w:rFonts w:ascii="Calibri" w:eastAsia="Calibri" w:hAnsi="Calibri" w:cs="Calibri"/>
        </w:rPr>
        <w:br/>
      </w:r>
    </w:p>
    <w:p>
      <w:pPr>
        <w:pStyle w:val="Normal9"/>
        <w:spacing w:after="280" w:afterAutospacing="1"/>
        <w:rPr>
          <w:rStyle w:val="DefaultParagraphFont"/>
          <w:rFonts w:ascii="Calibri" w:eastAsia="Calibri" w:hAnsi="Calibri" w:cs="Calibri"/>
          <w:sz w:val="15"/>
        </w:rPr>
      </w:pPr>
      <w:r>
        <w:rPr>
          <w:rStyle w:val="DefaultParagraphFont"/>
          <w:rFonts w:ascii="Calibri" w:eastAsia="Calibri" w:hAnsi="Calibri" w:cs="Calibri"/>
          <w:sz w:val="15"/>
        </w:rPr>
        <w:br/>
      </w:r>
    </w:p>
    <w:p>
      <w:pPr>
        <w:pStyle w:val="Normal9"/>
        <w:spacing w:after="280" w:afterAutospacing="1"/>
        <w:rPr>
          <w:rStyle w:val="DefaultParagraphFont"/>
          <w:rFonts w:ascii="Calibri" w:eastAsia="Calibri" w:hAnsi="Calibri" w:cs="Calibri"/>
          <w:sz w:val="15"/>
        </w:rPr>
      </w:pPr>
      <w:r>
        <w:rPr>
          <w:rStyle w:val="DefaultParagraphFont"/>
          <w:rFonts w:ascii="Calibri" w:eastAsia="Calibri" w:hAnsi="Calibri" w:cs="Calibri"/>
        </w:rPr>
        <w:br/>
      </w:r>
    </w:p>
    <w:p>
      <w:pPr>
        <w:pStyle w:val="Normal9"/>
        <w:spacing w:after="280" w:afterAutospacing="1"/>
        <w:rPr>
          <w:rStyle w:val="DefaultParagraphFont"/>
          <w:rFonts w:ascii="Calibri" w:eastAsia="Calibri" w:hAnsi="Calibri" w:cs="Calibri"/>
          <w:sz w:val="15"/>
        </w:rPr>
      </w:pPr>
      <w:r>
        <w:rPr>
          <w:rStyle w:val="DefaultParagraphFont"/>
          <w:rFonts w:ascii="Calibri" w:eastAsia="Calibri" w:hAnsi="Calibri" w:cs="Calibri"/>
        </w:rPr>
        <w:t>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Agency Coordination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01/05/2016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12/31/2015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 provided the first 6 Comments for all projects in general and some of them do not apply to this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 1:   Unavoidable impacts to streams andwetlands should be mitigated.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color w:val="FF0000"/>
        </w:rPr>
        <w:t>The project will not impact wetlands or Streams.</w:t>
      </w:r>
      <w:r>
        <w:rPr>
          <w:rStyle w:val="DefaultParagraphFont"/>
          <w:rFonts w:ascii="Calibri" w:eastAsia="Calibri" w:hAnsi="Calibri" w:cs="Calibri"/>
        </w:rPr>
        <w: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 2: Existing riparian habitat zones should be maintainedto the maximum extent possible.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color w:val="FF0000"/>
        </w:rPr>
        <w:t>The project is not located within a riparian habitat zone.</w:t>
      </w:r>
      <w:r>
        <w:rPr>
          <w:rStyle w:val="DefaultParagraphFont"/>
          <w:rFonts w:ascii="Calibri" w:eastAsia="Calibri" w:hAnsi="Calibri" w:cs="Calibri"/>
        </w:rPr>
        <w:t> </w:t>
      </w:r>
    </w:p>
    <w:p>
      <w:pPr>
        <w:pStyle w:val="Normal9"/>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color w:val="000000"/>
          <w:sz w:val="24"/>
        </w:rPr>
        <w:t>Comment 3:  Culverts should be placed toallow free movement of aquatic fauna.</w:t>
      </w:r>
    </w:p>
    <w:p>
      <w:pPr>
        <w:pStyle w:val="Normal9"/>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color w:val="FF0000"/>
          <w:sz w:val="24"/>
        </w:rPr>
        <w:t>The project will not replace culverts.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 4:  We recommend using nativevegetation to control erosion, or, at a minimum, using native vegetation incombination with riprap or similar materials.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install riprap or similar materials.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 5:  Staging areas should be kept well away from these aquatic features.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color w:val="FF0000"/>
        </w:rPr>
        <w:t>No aquatic features are located within the project limits.</w:t>
      </w:r>
      <w:r>
        <w:rPr>
          <w:rStyle w:val="DefaultParagraphFont"/>
          <w:rFonts w:ascii="Calibri" w:eastAsia="Calibri" w:hAnsi="Calibri" w:cs="Calibri"/>
        </w:rPr>
        <w: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 6.  All disturbed areas in theproject vicinity should be mulched and re-vegetated with native plant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Per ODOT Construction and Materials Specifications (104.04), allareas disturbed ground occupied by the Contractor in connection with the Work(with the exception of cultivated fields) will have suitable vegetative coverestablished by seeding and mulching according to Construction and MaterialsSpecifications Item 659.  When appropriate conditions apply, ODOT willconsider the use of native grasses and wildflowers for re-vegetating disturbedareas according to Construction and Materials Specifications Item 659.09 orsimilar seed mixes composed of native herbs and grasses. </w:t>
      </w:r>
    </w:p>
    <w:p>
      <w:pPr>
        <w:pStyle w:val="Normal9"/>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color w:val="000000"/>
          <w:sz w:val="24"/>
        </w:rPr>
        <w:t>For all projects that will impact suitable roosting habitatfor the Indiana bat and northern long-eared bat , USFWS has included thefollowing comments:</w:t>
      </w:r>
    </w:p>
    <w:p>
      <w:pPr>
        <w:pStyle w:val="Normal9"/>
        <w:spacing w:after="280" w:afterAutospacing="1"/>
        <w:rPr>
          <w:rStyle w:val="DefaultParagraphFont"/>
          <w:rFonts w:ascii="Times New Roman" w:eastAsia="Times New Roman" w:hAnsi="Times New Roman" w:cs="Times New Roman"/>
          <w:color w:val="000000"/>
          <w:sz w:val="24"/>
        </w:rPr>
      </w:pPr>
      <w:r>
        <w:rPr>
          <w:rStyle w:val="DefaultParagraphFont"/>
          <w:rFonts w:ascii="Calibri" w:eastAsia="Calibri" w:hAnsi="Calibri" w:cs="Calibri"/>
        </w:rPr>
        <w:t>Comment 1:  Clearing of all trees to be impacted by thisproject shall be performed only between October 1 and March 31.</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Tree clearing of all trees over 3" dbhthat are proposed for impact for this project will be cleared only betweenOctober 1 and March 31.</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 2:  For all projects that involvetree clearing:  if tree clearing is to occur prior to the issuance of the404/401 permits, that Section 7 consultation for that project must be completedand that tree clearing cannot commence until both the USACE and Ohio EPAanticipate that the permits authorizing the project as a whole are imminent.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Tree removal will not occur untilconsultation with USFWS has been completed, and waterway permits (if required)have been submitted to USACE and 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Environmental Commitments, Agency Coordination </w:t>
      </w:r>
      <w:bookmarkEnd w:id="36"/>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8"/>
        <w:keepNext/>
        <w:rPr>
          <w:rStyle w:val="DefaultParagraphFont"/>
          <w:rFonts w:ascii="Calibri" w:eastAsia="Calibri" w:hAnsi="Calibri" w:cs="Calibri"/>
        </w:rPr>
      </w:pPr>
      <w:r>
        <w:rPr>
          <w:rStyle w:val="DefaultParagraphFont"/>
          <w:rFonts w:ascii="Calibri" w:eastAsia="Calibri" w:hAnsi="Calibri" w:cs="Calibri"/>
        </w:rPr>
        <w:t>2. All consultation under Section 7(a) of the ESA will be concluded and waterway permits (if applicable) will be submitted to the appropriate agencies prior to any tree-clearing for the project.</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Per ODOT CMS (104.04), all areas of disturbed ground occupied by the Contractor in connection with the work (with the exception of cultivated fields) will have suitable vegetative cover established by seeding and mulching according to CMS (Item 659).  When appropriate conditions apply, ODOT will consider the use of native grasses and wildflowers for revegetating disturbed areas according to CMS (Item 659.09) or similar seed mixes composed of native herbs and grasses.</w:t>
      </w:r>
    </w:p>
    <w:p>
      <w:pPr>
        <w:pStyle w:val="Heading19"/>
        <w:keepNext/>
        <w:rPr>
          <w:rStyle w:val="DefaultParagraphFont"/>
          <w:rFonts w:ascii="Calibri" w:eastAsia="Calibri" w:hAnsi="Calibri" w:cs="Calibri"/>
        </w:rPr>
      </w:pPr>
      <w:bookmarkStart w:id="37" w:name="_Toc256000036"/>
      <w:r>
        <w:rPr>
          <w:rStyle w:val="DefaultParagraphFont"/>
          <w:rFonts w:ascii="Calibri" w:eastAsia="Calibri" w:hAnsi="Calibri" w:cs="Calibri"/>
        </w:rPr>
        <w:t>Other Resources</w:t>
      </w:r>
      <w:bookmarkEnd w:id="37"/>
    </w:p>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Farmlands</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 Non-Urbanized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permanent right-of-way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temporary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is a type of action listed below and meets allowable ROW thresholds: </w:t>
            </w:r>
          </w:p>
          <w:p>
            <w:pPr>
              <w:pStyle w:val="Normal10"/>
              <w:numPr>
                <w:ilvl w:val="0"/>
                <w:numId w:val="18"/>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Bridge replacement requiring ROW of three (3) acres or less to accommodate bridge piers, wingwalls, and/or approach work</w:t>
            </w:r>
          </w:p>
          <w:p>
            <w:pPr>
              <w:pStyle w:val="Normal10"/>
              <w:numPr>
                <w:ilvl w:val="0"/>
                <w:numId w:val="18"/>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Widening requiring linear strip ROW of 10 acres or less per linear mile</w:t>
            </w:r>
          </w:p>
          <w:p>
            <w:pPr>
              <w:pStyle w:val="Normal10"/>
              <w:numPr>
                <w:ilvl w:val="0"/>
                <w:numId w:val="18"/>
              </w:numPr>
              <w:tabs>
                <w:tab w:val="num" w:pos="720"/>
              </w:tabs>
              <w:spacing w:after="280" w:afterAutospacing="1"/>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Intersection improvement requiring ROW of three (3) acres or less</w:t>
            </w:r>
          </w:p>
          <w:p>
            <w:pPr>
              <w:pStyle w:val="Normal10"/>
              <w:spacing w:after="280" w:afterAutospacing="1"/>
              <w:rPr>
                <w:rStyle w:val="DefaultParagraphFont"/>
                <w:rFonts w:ascii="Calibri" w:eastAsia="Calibri" w:hAnsi="Calibri" w:cs="Calibri"/>
                <w:b/>
              </w:rPr>
            </w:pPr>
          </w:p>
        </w:tc>
        <w:tc>
          <w:tcPr>
            <w:tcW w:w="2500" w:type="dxa"/>
          </w:tcPr>
          <w:p>
            <w:pPr>
              <w:pStyle w:val="Normal10"/>
              <w:spacing w:after="280" w:afterAutospacing="1"/>
              <w:rPr>
                <w:rStyle w:val="DefaultParagraphFont"/>
                <w:rFonts w:ascii="Calibri" w:eastAsia="Calibri" w:hAnsi="Calibri" w:cs="Calibri"/>
                <w:b w:val="0"/>
              </w:rPr>
            </w:pPr>
            <w:r>
              <w:rPr>
                <w:rStyle w:val="DefaultParagraphFont"/>
                <w:rFonts w:ascii="Calibri" w:eastAsia="Calibri" w:hAnsi="Calibri" w:cs="Calibri"/>
                <w:b w:val="0"/>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construction purposes is protected by a conservation easement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temporary ROW will be returned to equal or greater productive capability upon completion of the proposed project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NRCS Approval Date</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Land being used for the proposed project is part of an Agricultural District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Drinking Water</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not within the U.S. EPA Sole Source Aquifer area.  The project is located near two OEPA Source Water Protection Area.  However the project is over 300 and 400feet from two OEPA Source Water Protection Areas.  See the Drinking Water Resource Map in the Project File/Drinking Water/Water Source Protection Area Map.pdf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0" w:name="_Toc256000039"/>
      <w:r>
        <w:rPr>
          <w:rStyle w:val="DefaultParagraphFont"/>
          <w:rFonts w:ascii="Calibri" w:eastAsia="Calibri" w:hAnsi="Calibri" w:cs="Calibri"/>
        </w:rPr>
        <w:t>Section 4(f)</w:t>
      </w:r>
      <w:bookmarkEnd w:id="40"/>
    </w:p>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Section 4(f) Determination</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Identified Section 4(f) Properties</w:t>
      </w:r>
      <w:bookmarkEnd w:id="4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closest Section 4(f) property is the ODNR public Hunting Area located over 1,000 feet west of the project intersection.  The  project will not impact the property nor restrict access to the site.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3" w:name="_Toc256000042"/>
      <w:r>
        <w:rPr>
          <w:rStyle w:val="DefaultParagraphFont"/>
          <w:rFonts w:ascii="Calibri" w:eastAsia="Calibri" w:hAnsi="Calibri" w:cs="Calibri"/>
        </w:rPr>
        <w:t>Section 6(f)</w:t>
      </w:r>
      <w:bookmarkEnd w:id="43"/>
    </w:p>
    <w:p>
      <w:pPr>
        <w:pStyle w:val="Heading310"/>
        <w:keepNext/>
        <w:rPr>
          <w:rStyle w:val="DefaultParagraphFont"/>
          <w:rFonts w:ascii="Calibri" w:eastAsia="Calibri" w:hAnsi="Calibri" w:cs="Calibri"/>
        </w:rPr>
      </w:pPr>
      <w:bookmarkStart w:id="44" w:name="_Toc256000043"/>
      <w:r>
        <w:rPr>
          <w:rStyle w:val="DefaultParagraphFont"/>
          <w:rFonts w:ascii="Calibri" w:eastAsia="Calibri" w:hAnsi="Calibri" w:cs="Calibri"/>
        </w:rPr>
        <w:t>Section 6(f) Determination</w:t>
      </w:r>
      <w:bookmarkEnd w:id="4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No section 6(f) sites were identified on the NRCS LWCF List.  See the attached list in the Project File/Section6(f)/Project Information/LWCF Grant Listing.pdf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5" w:name="_Toc256000044"/>
      <w:r>
        <w:rPr>
          <w:rStyle w:val="DefaultParagraphFont"/>
          <w:rFonts w:ascii="Calibri" w:eastAsia="Calibri" w:hAnsi="Calibri" w:cs="Calibri"/>
        </w:rPr>
        <w:t>Community Impacts</w:t>
      </w:r>
      <w:bookmarkEnd w:id="45"/>
    </w:p>
    <w:p>
      <w:pPr>
        <w:pStyle w:val="Heading311"/>
        <w:keepNext/>
        <w:rPr>
          <w:rStyle w:val="DefaultParagraphFont"/>
          <w:rFonts w:ascii="Calibri" w:eastAsia="Calibri" w:hAnsi="Calibri" w:cs="Calibri"/>
        </w:rPr>
      </w:pPr>
      <w:bookmarkStart w:id="46" w:name="_Toc256000045"/>
      <w:r>
        <w:rPr>
          <w:rStyle w:val="DefaultParagraphFont"/>
          <w:rFonts w:ascii="Calibri" w:eastAsia="Calibri" w:hAnsi="Calibri" w:cs="Calibri"/>
        </w:rPr>
        <w:t>Community Impacts</w:t>
      </w:r>
      <w:bookmarkEnd w:id="4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consistent with local plans and is not expected to change development patterns in the area. The project is listed in the Northeast Ohio Areawide Coordinating Agency (NOACA), the Metropolitan Planning Organization for the region, FY 2016-2019 Transportation Improvement Program.</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not negatively impact community cohesion.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not cause any indirect or cumulative impacts.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Substantial impacts will not occur to health and educational facilities, public utilities, fire, police, emergency services, religious institutions, or public transportation facilities.  Emergency services and schools will be notified of any delays and closures associated with construction.  A Maintenance of Traffic Plan has been developed for this project that maintains interstate access during construction. Residents of the project area may experience short-term impacts during construction; however, safety for the public utilizing this facility will be improved in the long run.</w:t>
      </w:r>
      <w:r>
        <w:rPr>
          <w:rStyle w:val="DefaultParagraphFont"/>
          <w:rFonts w:ascii="Calibri" w:eastAsia="Calibri" w:hAnsi="Calibri" w:cs="Calibri"/>
        </w:rPr>
        <w: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CONTRACTOR WILL NOTIFY THE LOCAL PUBLIC SERVICES,SCHOOL DISTRICT, EMERGENCY SERVICES AND COMMUNITY A MINIMUM OF FOURTEEN (14) DAYS IN ADVANCE OF PROJECT CONSTRUCTION.  INCLUDED IN THE NOTIFICATION WILL BE THE PROJECTED DATES OF ANY LANE RESTRICTIONS, ROADWAY CLOSURE(S) AND DETOUR ROUTE(S).  Commitment is included in the General Commitments.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result in any displacements or relocation.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7" w:name="_Toc256000046"/>
      <w:r>
        <w:rPr>
          <w:rStyle w:val="DefaultParagraphFont"/>
          <w:rFonts w:ascii="Calibri" w:eastAsia="Calibri" w:hAnsi="Calibri" w:cs="Calibri"/>
        </w:rPr>
        <w:t>Environmental Justice</w:t>
      </w:r>
      <w:bookmarkEnd w:id="47"/>
    </w:p>
    <w:p>
      <w:pPr>
        <w:pStyle w:val="Heading312"/>
        <w:keepNext/>
        <w:rPr>
          <w:rStyle w:val="DefaultParagraphFont"/>
          <w:rFonts w:ascii="Calibri" w:eastAsia="Calibri" w:hAnsi="Calibri" w:cs="Calibri"/>
        </w:rPr>
      </w:pPr>
      <w:bookmarkStart w:id="48" w:name="_Toc256000047"/>
      <w:r>
        <w:rPr>
          <w:rStyle w:val="DefaultParagraphFont"/>
          <w:rFonts w:ascii="Calibri" w:eastAsia="Calibri" w:hAnsi="Calibri" w:cs="Calibri"/>
        </w:rPr>
        <w:t>Environmental Justice</w:t>
      </w:r>
      <w:bookmarkEnd w:id="4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39055312000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2.19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15.64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haveno disproportionately high and adverse impacts to minority or low-incomepopulations based upon the table above, the attached mapping, and the answersto the questions above. No Environmental Justice issues were raised as a resultof public involvement activities conducted as part of the proposed project.Therefore, in accordance with the protections of Executive Order 12898 and FHWAOrder 6640.23A, no further Environmental Justice analysis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9" w:name="_Toc256000048"/>
      <w:r>
        <w:rPr>
          <w:rStyle w:val="DefaultParagraphFont"/>
          <w:rFonts w:ascii="Calibri" w:eastAsia="Calibri" w:hAnsi="Calibri" w:cs="Calibri"/>
        </w:rPr>
        <w:t>Public Involvement</w:t>
      </w:r>
      <w:bookmarkEnd w:id="49"/>
    </w:p>
    <w:p>
      <w:pPr>
        <w:pStyle w:val="Heading313"/>
        <w:keepNext/>
        <w:rPr>
          <w:rStyle w:val="DefaultParagraphFont"/>
          <w:rFonts w:ascii="Calibri" w:eastAsia="Calibri" w:hAnsi="Calibri" w:cs="Calibri"/>
        </w:rPr>
      </w:pPr>
      <w:bookmarkStart w:id="50" w:name="_Toc256000049"/>
      <w:r>
        <w:rPr>
          <w:rStyle w:val="DefaultParagraphFont"/>
          <w:rFonts w:ascii="Calibri" w:eastAsia="Calibri" w:hAnsi="Calibri" w:cs="Calibri"/>
        </w:rPr>
        <w:t>Public Involvement</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 sent Public Notification Letters to residents on October 14, 2015 to inform them about field reviews.  ODOT requested to attend the Troy Township Trustee Meeting on 4/05/16 at the Troy Community House.  Meeting notification letters were sent on 3/21/16 to residents near the project area.  Brian Blayney and Thomas Sorge presented the project description and environmental impacts at the meeting.  See the Public information documentation in Project File/Public Involvement.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Troy Township Trustees' Meeting was successful in informing the residents about the project.  Several residents asked about the right-of-way impacts to their property and ODOT personnel explained the right-of-way impacts to each resident after the meeting.  Most of the residents were concerned about the traffic movements through the intersection, specifically the left turning movements on US-422 onto SR-700.  One email comments were received on 9/26/16 and a response was sent 9/26/16.  ODOT Personnel distributed comment sheets at the meeting.  However, no comment sheets were received.  Please see the response letter in the Public Involvement/Project Information/Response to Public Comments.pdf.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1" w:name="_Toc256000050"/>
      <w:r>
        <w:rPr>
          <w:rStyle w:val="DefaultParagraphFont"/>
          <w:rFonts w:ascii="Calibri" w:eastAsia="Calibri" w:hAnsi="Calibri" w:cs="Calibri"/>
        </w:rPr>
        <w:t>Permits</w:t>
      </w:r>
      <w:bookmarkEnd w:id="51"/>
    </w:p>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Waterway Permits</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project does not require Waterway Permits.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Storm Water Permits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project does not require a NPDES Permit.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Floodplains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project is not located within a FEMA regulated Floodplain.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Landfills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ESA investigations did not identify any landfills within the project area.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6" w:name="_Toc256000055"/>
      <w:r>
        <w:rPr>
          <w:rStyle w:val="DefaultParagraphFont"/>
          <w:rFonts w:ascii="Calibri" w:eastAsia="Calibri" w:hAnsi="Calibri" w:cs="Calibri"/>
        </w:rPr>
        <w:t>Environmental Commitments</w:t>
      </w:r>
      <w:bookmarkEnd w:id="56"/>
    </w:p>
    <w:p>
      <w:pPr>
        <w:pStyle w:val="Heading315"/>
        <w:keepNext/>
        <w:rPr>
          <w:rStyle w:val="DefaultParagraphFont"/>
          <w:rFonts w:ascii="Calibri" w:eastAsia="Calibri" w:hAnsi="Calibri" w:cs="Calibri"/>
        </w:rPr>
      </w:pPr>
      <w:bookmarkStart w:id="57" w:name="_Toc256000056"/>
      <w:r>
        <w:rPr>
          <w:rStyle w:val="DefaultParagraphFont"/>
          <w:rFonts w:ascii="Calibri" w:eastAsia="Calibri" w:hAnsi="Calibri" w:cs="Calibri"/>
        </w:rPr>
        <w:t>General, Maintenance of Traffic During Construction</w:t>
      </w:r>
      <w:bookmarkEnd w:id="57"/>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contractor is responsible for notifying all local, county, state and federal emergency services and every effected school facility of any anticipated road/ramp closures at least fourteen (14) days before the closure. Specifically, the road closure notice must disclose 1) the exact portion of the road to be closed 2) the date of the anticipated closure 3) the duration of the closure 4) and the detour route(s). A copy of this notification must be presented at the preconstruction meeting. The contractor is also responsible for notifying the project engineer when, including date and time the notification is distributed. A copy of the notification must be sent to ODOT communications.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Under no circumstance are Temporary Right-of-way Easements to be used for storage of materials or equipment by the contractor unless noted otherwise.  </w:t>
      </w:r>
    </w:p>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 xml:space="preserve">Ecological, Agency Coordination </w:t>
      </w:r>
      <w:bookmarkEnd w:id="5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6"/>
        <w:keepNext/>
        <w:rPr>
          <w:rStyle w:val="DefaultParagraphFont"/>
          <w:rFonts w:ascii="Calibri" w:eastAsia="Calibri" w:hAnsi="Calibri" w:cs="Calibri"/>
        </w:rPr>
      </w:pPr>
      <w:r>
        <w:rPr>
          <w:rStyle w:val="DefaultParagraphFont"/>
          <w:rFonts w:ascii="Calibri" w:eastAsia="Calibri" w:hAnsi="Calibri" w:cs="Calibri"/>
        </w:rPr>
        <w:t>2. All consultation under Section 7(a) of the ESA will be concluded and waterway permits (if applicable) will be submitted to the appropriate agencies prior to any tree-clearing for the project.</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Per ODOT CMS (104.04), all areas of disturbed ground occupied by the Contractor in connection with the work (with the exception of cultivated fields) will have suitable vegetative cover established by seeding and mulching according to CMS (Item 659).  When appropriate conditions apply, ODOT will consider the use of native grasses and wildflowers for revegetating disturbed areas according to CMS (Item 659.09) or similar seed mixes composed of native herbs and grasses.</w:t>
      </w:r>
    </w:p>
    <w:p>
      <w:pPr>
        <w:pStyle w:val="Heading117"/>
        <w:keepNext/>
        <w:rPr>
          <w:rStyle w:val="DefaultParagraphFont"/>
          <w:rFonts w:ascii="Calibri" w:eastAsia="Calibri" w:hAnsi="Calibri" w:cs="Calibri"/>
        </w:rPr>
      </w:pPr>
      <w:bookmarkStart w:id="59" w:name="_Toc256000058"/>
      <w:r>
        <w:rPr>
          <w:rStyle w:val="DefaultParagraphFont"/>
          <w:rFonts w:ascii="Calibri" w:eastAsia="Calibri" w:hAnsi="Calibri" w:cs="Calibri"/>
        </w:rPr>
        <w:t>Preparers  &amp; Approvals</w:t>
      </w:r>
      <w:bookmarkEnd w:id="59"/>
    </w:p>
    <w:p>
      <w:pPr>
        <w:pStyle w:val="Heading316"/>
        <w:keepNext/>
        <w:rPr>
          <w:rStyle w:val="DefaultParagraphFont"/>
          <w:rFonts w:ascii="Calibri" w:eastAsia="Calibri" w:hAnsi="Calibri" w:cs="Calibri"/>
        </w:rPr>
      </w:pPr>
      <w:bookmarkStart w:id="60" w:name="_Toc256000059"/>
      <w:r>
        <w:rPr>
          <w:rStyle w:val="DefaultParagraphFont"/>
          <w:rFonts w:ascii="Calibri" w:eastAsia="Calibri" w:hAnsi="Calibri" w:cs="Calibri"/>
        </w:rPr>
        <w:t>Form Preparer(s)</w:t>
      </w:r>
      <w:bookmarkEnd w:id="6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Thomas Sorge</w:t>
            </w:r>
          </w:p>
        </w:tc>
      </w:tr>
    </w:tbl>
    <w:p>
      <w:pPr>
        <w:pStyle w:val="Heading316"/>
        <w:keepNext/>
        <w:rPr>
          <w:rStyle w:val="DefaultParagraphFont"/>
          <w:rFonts w:ascii="Calibri" w:eastAsia="Calibri" w:hAnsi="Calibri" w:cs="Calibri"/>
        </w:rPr>
      </w:pPr>
      <w:bookmarkStart w:id="61" w:name="_Toc256000060"/>
      <w:r>
        <w:rPr>
          <w:rStyle w:val="DefaultParagraphFont"/>
          <w:rFonts w:ascii="Calibri" w:eastAsia="Calibri" w:hAnsi="Calibri" w:cs="Calibri"/>
        </w:rPr>
        <w:t>Approvals &amp; Electronic Signatures</w:t>
      </w:r>
      <w:bookmarkEnd w:id="6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20,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2" w:name="_Toc256000061"/>
      <w:r>
        <w:rPr>
          <w:rStyle w:val="DefaultParagraphFont"/>
          <w:rFonts w:ascii="Calibri" w:eastAsia="Calibri" w:hAnsi="Calibri" w:cs="Calibri"/>
        </w:rPr>
        <w:t>Appendix</w:t>
      </w:r>
      <w:bookmarkEnd w:id="62"/>
    </w:p>
    <w:p>
      <w:pPr>
        <w:pStyle w:val="Heading317"/>
        <w:keepNext/>
        <w:rPr>
          <w:rStyle w:val="DefaultParagraphFont"/>
          <w:rFonts w:ascii="Calibri" w:eastAsia="Calibri" w:hAnsi="Calibri" w:cs="Calibri"/>
        </w:rPr>
      </w:pPr>
      <w:bookmarkStart w:id="63" w:name="_Toc256000062"/>
      <w:r>
        <w:rPr>
          <w:rStyle w:val="DefaultParagraphFont"/>
          <w:rFonts w:ascii="Calibri" w:eastAsia="Calibri" w:hAnsi="Calibri" w:cs="Calibri"/>
        </w:rPr>
        <w:t>Uploaded Files by Report Section</w:t>
      </w:r>
      <w:bookmarkEnd w:id="63"/>
    </w:p>
    <w:p>
      <w:pPr>
        <w:pStyle w:val="Heading317"/>
        <w:keepNext/>
        <w:rPr>
          <w:rStyle w:val="DefaultParagraphFont"/>
          <w:rFonts w:ascii="Calibri" w:eastAsia="Calibri" w:hAnsi="Calibri" w:cs="Calibri"/>
        </w:rPr>
      </w:pPr>
      <w:bookmarkStart w:id="64" w:name="_Toc256000063"/>
      <w:r>
        <w:rPr>
          <w:rStyle w:val="DefaultParagraphFont"/>
          <w:rFonts w:ascii="Calibri" w:eastAsia="Calibri" w:hAnsi="Calibri" w:cs="Calibri"/>
        </w:rPr>
        <w:t>Section 6(f)</w:t>
      </w:r>
      <w:bookmarkEnd w:id="64"/>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65" w:name="_Toc256000064"/>
      <w:r>
        <w:rPr>
          <w:rStyle w:val="DefaultParagraphFont"/>
          <w:rFonts w:ascii="Calibri" w:eastAsia="Calibri" w:hAnsi="Calibri" w:cs="Calibri"/>
        </w:rPr>
        <w:t>Purpose and Need</w:t>
      </w:r>
      <w:bookmarkEnd w:id="65"/>
    </w:p>
    <w:p>
      <w:pPr>
        <w:pStyle w:val="BodyTextIndent16"/>
        <w:keepNext/>
        <w:rPr>
          <w:rStyle w:val="DefaultParagraphFont"/>
          <w:rFonts w:ascii="Calibri" w:eastAsia="Calibri" w:hAnsi="Calibri" w:cs="Calibri"/>
        </w:rPr>
      </w:pPr>
      <w:r>
        <w:rPr>
          <w:rStyle w:val="DefaultParagraphFont"/>
          <w:rFonts w:ascii="Calibri" w:eastAsia="Calibri" w:hAnsi="Calibri" w:cs="Calibri"/>
        </w:rPr>
        <w:t>GEA-422-10.93 Corridor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2013 HSIP Priority Location Top 500 List.xlsx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Earmark Status Report.pdf</w:t>
      </w:r>
    </w:p>
    <w:p>
      <w:pPr>
        <w:pStyle w:val="Heading317"/>
        <w:keepNext/>
        <w:rPr>
          <w:rStyle w:val="DefaultParagraphFont"/>
          <w:rFonts w:ascii="Calibri" w:eastAsia="Calibri" w:hAnsi="Calibri" w:cs="Calibri"/>
        </w:rPr>
      </w:pPr>
      <w:bookmarkStart w:id="66" w:name="_Toc256000065"/>
      <w:r>
        <w:rPr>
          <w:rStyle w:val="DefaultParagraphFont"/>
          <w:rFonts w:ascii="Calibri" w:eastAsia="Calibri" w:hAnsi="Calibri" w:cs="Calibri"/>
        </w:rPr>
        <w:t>ESA</w:t>
      </w:r>
      <w:bookmarkEnd w:id="66"/>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Monitoring Well Sampling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Cultural Resources</w:t>
      </w:r>
      <w:bookmarkEnd w:id="67"/>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Figure 1 CR IOC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Figure 2 CR IOC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Figure 3 CR IOC .pdf</w:t>
      </w:r>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Ecological</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Response to USFWS Comments.msg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Other Resources</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Environmental Justice</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Public Involvement</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Comments.msg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Comment Sheet.docx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47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47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80963 GEA US 422 13.04 Intersection</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20,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2016-12-20T05:00:00+00:00</DateCompleted>
    <Internal_x0020_Only xmlns="df873bd8-8520-468a-8ecb-74db49e47217">No</Internal_x0020_Only>
    <FID xmlns="df873bd8-8520-468a-8ecb-74db49e47217">5291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729A322-EEF8-437F-8BF0-E23DD1951F59}"/>
</file>

<file path=customXml/itemProps2.xml><?xml version="1.0" encoding="utf-8"?>
<ds:datastoreItem xmlns:ds="http://schemas.openxmlformats.org/officeDocument/2006/customXml" ds:itemID="{5F3EDE47-F0B8-4B02-851E-4EE4AC35C74B}"/>
</file>

<file path=customXml/itemProps3.xml><?xml version="1.0" encoding="utf-8"?>
<ds:datastoreItem xmlns:ds="http://schemas.openxmlformats.org/officeDocument/2006/customXml" ds:itemID="{068644E7-CA04-46B1-A24F-738959E075A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