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Latcha Rd Bridge PID 100386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31,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WOOD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consists of one bridge located within Lake Township in Wood County, Ohio.  The bridge crosses over Cedar Creek at Latcha Road (T065B-0001). The project area is primarily agricultural with homes relatively close to the culvert crossings.  The proposed work is part of the Ohio Bridge Partnership Program which includes replacing the bridge and additional right of way is needed for a temporary structure used to maintain traffic.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bridge was originally included in the project WOO-CR321/TR102-Var Gp5FY15 (PID 97642), but after challenges arose with the maintenance of traffic that would have occurred during construction, the bridge was moved into the current project and PID.  This allowed for additional right of way to be acquired to allow for a temporary bridge to be constructed and used while the new permanent bridge construction will occur.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12/16/2014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09/30/2015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specifications set forth in the most current version of ODOT's Construction and Material Specifications, Location and Design Manual and Standard Drawings will be used to ensure adequate erosion and sediment control during construction.  Disturbed areas will be reseeded.  If an Ohio Environmental Protection Agency (OEPA) Notice of Intent (NOI) is required, the required post construction BMPs shall be included in the design and the NOI form shall be submitted as required. </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The two potential bat habitat trees located within the project area shall not be cut.  </w:t>
      </w:r>
    </w:p>
    <w:p>
      <w:pPr>
        <w:pStyle w:val="BodyText0"/>
        <w:keepNext/>
        <w:rPr>
          <w:rStyle w:val="DefaultParagraphFont"/>
          <w:rFonts w:ascii="Calibri" w:eastAsia="Calibri" w:hAnsi="Calibri" w:cs="Calibri"/>
        </w:rPr>
      </w:pPr>
      <w:r>
        <w:rPr>
          <w:rStyle w:val="DefaultParagraphFont"/>
          <w:rFonts w:ascii="Calibri" w:eastAsia="Calibri" w:hAnsi="Calibri" w:cs="Calibri"/>
        </w:rPr>
        <w:t>6. A mussel survey and relocation in accordance with ODNR and USFWS protocols shall be performed at the project site prior to any in-stream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Due to work in a Zone A floodplain, the contracted designer must submit a letter of compliance (LD-51 Form) and calculations showing that the carrying capacity of Cedar Creek will not change after work is complete. All floodplain regulations shall be followed throughout design and construction.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8. The project requires a waterway permit for work within Cedar Creek which will be attached to the scope as Special Provisions. No work below the Ordinary High Water Mark (OHWM) shall take place until the proper permit is obtained by ODOT. All conditions of the permit shall be followed throughout design and construction by the designer and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specifications set forth in the most current version of ODOT's Construction and Material Specifications, Location and Design Manual and Standard Drawings will be used to ensure adequate erosion and sediment control during construction.  Disturbed areas will be reseeded.  If an Ohio Environmental Protection Agency (OEPA) Notice of Intent (NOI) is required, the required post construction BMPs shall be included in the design and the NOI form shall be submitted as required. </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The two potential bat habitat trees located within the project area shall not be cut.  </w:t>
      </w:r>
    </w:p>
    <w:p>
      <w:pPr>
        <w:pStyle w:val="BodyText1"/>
        <w:keepNext/>
        <w:rPr>
          <w:rStyle w:val="DefaultParagraphFont"/>
          <w:rFonts w:ascii="Calibri" w:eastAsia="Calibri" w:hAnsi="Calibri" w:cs="Calibri"/>
        </w:rPr>
      </w:pPr>
      <w:r>
        <w:rPr>
          <w:rStyle w:val="DefaultParagraphFont"/>
          <w:rFonts w:ascii="Calibri" w:eastAsia="Calibri" w:hAnsi="Calibri" w:cs="Calibri"/>
        </w:rPr>
        <w:t>6. A mussel survey and relocation in accordance with ODNR and USFWS protocols shall be performed at the project site prior to any in-stream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Due to work in a Zone A floodplain, the contracted designer must submit a letter of compliance (LD-51 Form) and calculations showing that the carrying capacity of Cedar Creek will not change after work is complete. All floodplain regulations shall be followed throughout design and construction.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project requires a waterway permit for work within Cedar Creek which will be attached to the scope as Special Provisions. No work below the Ordinary High Water Mark (OHWM) shall take place until the proper permit is obtained by ODOT. All conditions of the permit shall be followed throughout design and construction by the designer and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31,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31,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ESR Level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Sent to Agencies.pdf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Wood County SWAP.docx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Below Poverty.GIF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Population.GIF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Packet.pdf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Temporary Fill Checklist.pdf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 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PCN Attachments.pdf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fldChar w:fldCharType="begin"/>
    </w:r>
    <w:r>
      <w:instrText xml:space="preserve"> NUMPAGES   \* MERGEFORMAT </w:instrText>
    </w:r>
    <w:r>
      <w:fldChar w:fldCharType="separate"/>
    </w:r>
    <w:r w:rsidR="008E44CD">
      <w:rPr>
        <w:noProof/>
      </w:rPr>
      <w:t>15</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31,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31,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31,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31,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100386 WOO Latcha Rd Bridge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31,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2016-03-31T04:00:00+00:00</DateCompleted>
    <Internal_x0020_Only xmlns="df873bd8-8520-468a-8ecb-74db49e47217">No</Internal_x0020_Only>
    <FID xmlns="df873bd8-8520-468a-8ecb-74db49e47217">5380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33E1051-E07C-43EB-96C0-8B4C6F0DA725}"/>
</file>

<file path=customXml/itemProps2.xml><?xml version="1.0" encoding="utf-8"?>
<ds:datastoreItem xmlns:ds="http://schemas.openxmlformats.org/officeDocument/2006/customXml" ds:itemID="{211622BE-3C96-4419-AD3D-0C24F8A142AA}"/>
</file>

<file path=customXml/itemProps3.xml><?xml version="1.0" encoding="utf-8"?>
<ds:datastoreItem xmlns:ds="http://schemas.openxmlformats.org/officeDocument/2006/customXml" ds:itemID="{33C3EF6C-FE16-444E-9D37-ED23DFAAFE39}"/>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