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SR 199 29.10 Carronade Rdabt PID 101003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29,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amy Allen</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101003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involves the installation of a three-leg roundabout (intended to replace the existing three-way intersection) located at State Route 199 (SR-199/McCutchenville Road) and Carronade Drive. A length of guardrail will also be replaced in association with this project; the guardrail extends from approximately 450 feet south of the intersection of SR-199 and Eckel Junction Road (on the south side of Interstate 75 (I-75)/US Route (US-23)) north to the intersection of SR-199 and Eckel Junction Road (on the north side of I-75/US-23). The construction of the roundabout will require a small amount of right of way (ROW) take (approximately 0.3 acre) from the adjacent soccer field complex; all of the construction required to replace the guardrail will be completed within the existing ROW.  The majority of the project area is located in a rural area with residential, recreational, and agricultural land uses. North of I-75/US-23, the project area is surrounded primarily by urban residential land use. Land cover within the proposed project area is primarily maintained road ROW, with some small areas of upland scrub/shrub.Stream 1 is a channelized, perennial stream that flows within a roadside ditch adjacent to the west side of SR-199.  A total of 851 linear feet of permanent impacts to Stream 1 are anticipated for temporary construction access, a new culvert, and relocating the stream channel to the west. The appropriate waterway permit will be obtained before any construction will occur below the Ordinary High Water Mark (OHWM) of Stream 1.The installation of the roundabout will require permanent ROW to be acquired from land owned by the Perrysburg Board of Education. This parcel of land is an existing soccer facility that is currently being leased to the Perrysburg Soccer Club. These soccer fields are not open to the public and are signed as such.  Based on this, the property would not be considered a Section 4(f) resource. No 4(f) issues were raised as a result of public involvement activities conducted for the project.  No 4(f) coordination is required in accordance with 23 CFR 774.</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15,32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08/03/2016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and Coordination Conducted; No Impacts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Agency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Qualitative MSAT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OEPA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04/15/2016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and Coordination Conducted; No Impacts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Noise Analysis Completed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03/24/2016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06/09/2016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2.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4. The project requires a waterway permit for work within Stream 1 which will be attached to the plans as Special Provisions. No work below the Ordinary High Water Mark (OHWM) shall take place until the proper permit is obtained by ODOT. All conditions of the permit shall be followed throughout construction by the contractor.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2.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4. The project requires a waterway permit for work within Stream 1 which will be attached to the plans as Special Provisions. No work below the Ordinary High Water Mark (OHWM) shall take place until the proper permit is obtained by ODOT. All conditions of the permit shall be followed throughout construction by the contractor.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amy Allen</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 xml:space="preserve">OH </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amy.allen@davey.com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Phoenix Golnick, </w:t>
            </w:r>
            <w:r>
              <w:rPr>
                <w:rStyle w:val="DefaultParagraphFont"/>
                <w:b w:val="0"/>
                <w:sz w:val="24"/>
                <w:szCs w:val="24"/>
                <w:lang w:val="en-US" w:eastAsia="en-US" w:bidi="ar-SA"/>
              </w:rPr>
              <w:t xml:space="preserve">Gregory Snowden, </w:t>
            </w:r>
            <w:r>
              <w:rPr>
                <w:rStyle w:val="DefaultParagraphFont"/>
                <w:b w:val="0"/>
                <w:sz w:val="24"/>
                <w:szCs w:val="24"/>
                <w:lang w:val="en-US" w:eastAsia="en-US" w:bidi="ar-SA"/>
              </w:rPr>
              <w:t>Jeff Pettit</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29,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29,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Air</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OEPA Approval - Qualitative MSAT.pdf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Qualitative MSAT Analysis.pdf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Noise</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Noise Analysis.pdf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Section 4(f)</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4(f) Memo to File.pdf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General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ESA</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Cultural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Ecological</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2 ESR WOO-199-29.10 PID 101003.pdf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Approval2.pdf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Other Resources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Secondary Source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Environmental Justice</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Public Involvement</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EMA Notification.pdf</w:t>
      </w:r>
    </w:p>
    <w:p>
      <w:pPr>
        <w:pStyle w:val="Heading33"/>
        <w:keepNext/>
        <w:rPr>
          <w:rStyle w:val="DefaultParagraphFont"/>
          <w:rFonts w:ascii="Calibri" w:eastAsia="Calibri" w:hAnsi="Calibri" w:cs="Calibri"/>
        </w:rPr>
      </w:pPr>
      <w:bookmarkStart w:id="20" w:name="_Toc256000019"/>
      <w:r>
        <w:rPr>
          <w:rStyle w:val="DefaultParagraphFont"/>
          <w:rFonts w:ascii="Calibri" w:eastAsia="Calibri" w:hAnsi="Calibri" w:cs="Calibri"/>
        </w:rPr>
        <w:t>Permits</w:t>
      </w:r>
      <w:bookmarkEnd w:id="20"/>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Pre-Construction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Pre-Construction Notification - Final.pdf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15</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101003 WOO SR 199 29.10 Carronade Rdabt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101003 WOO SR 199 29.10 Carronade Rdabt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101003 WOO SR 199 29.10 Carronade Rdabt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101003 WOO SR 199 29.10 Carronade Rdabt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101003 WOO SR 199 29.10 Carronade Rdabt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2016-12-29T05:00:00+00:00</DateCompleted>
    <Internal_x0020_Only xmlns="df873bd8-8520-468a-8ecb-74db49e47217">No</Internal_x0020_Only>
    <FID xmlns="df873bd8-8520-468a-8ecb-74db49e47217">5418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029419F-D385-4BF1-BFD5-36E28B14DFD6}"/>
</file>

<file path=customXml/itemProps2.xml><?xml version="1.0" encoding="utf-8"?>
<ds:datastoreItem xmlns:ds="http://schemas.openxmlformats.org/officeDocument/2006/customXml" ds:itemID="{068E57DD-68D1-41A3-A0C4-546F13D5B1DE}"/>
</file>

<file path=customXml/itemProps3.xml><?xml version="1.0" encoding="utf-8"?>
<ds:datastoreItem xmlns:ds="http://schemas.openxmlformats.org/officeDocument/2006/customXml" ds:itemID="{A6B09BDC-4A25-4145-90BE-D8A1D1163C7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