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 18.62 Bridge Paint PID 92331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92331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proposing to paint the Anthony Wayne (High Level) Bridge which carries SR 2 and SR 51 (Clayton Street/Woodville Road) over the Maumee River. The proposed work includes painting all the structural steel located on the bridge to help preserve the National Register of Historic Places (NRHP) eligible structure.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2016stipID0027FDCO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Permit Determination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This project is subject to the requirements of Section 4(f) of the Department of Transportation (DOT) Act of 1966, which affords protection to publicly-owned parks, recreation areas, and wildlife and waterfowl refuges.  The following measures to minimize harm shall be followed throughout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a. Access to the Ottawa Street bike path and Rails to Trails Next to Maumee River Trail will be maintained at all times, except for the time needed for temporary occupancy of the property and/or closures needed to facilitate construction activities. Appropriate signage will be installed along Ottawa Street bike path and Rails to Trails Next to Maumee River Trail to alert users of construction activities and/or detours, if in proximity to recreational facilities or features.</w:t>
      </w:r>
    </w:p>
    <w:p>
      <w:pPr>
        <w:pStyle w:val="BodyText0"/>
        <w:keepNext/>
        <w:rPr>
          <w:rStyle w:val="DefaultParagraphFont"/>
          <w:rFonts w:ascii="Calibri" w:eastAsia="Calibri" w:hAnsi="Calibri" w:cs="Calibri"/>
        </w:rPr>
      </w:pPr>
      <w:r>
        <w:rPr>
          <w:rStyle w:val="DefaultParagraphFont"/>
          <w:rFonts w:ascii="Calibri" w:eastAsia="Calibri" w:hAnsi="Calibri" w:cs="Calibri"/>
        </w:rPr>
        <w:t>b. Access to Middlegrounds Park and International Park will be maintained at all times, except for the time needed for temporary occupancy of the property and/or closures needed to facilitate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c. Temporary construction fencing shall be installed along proposed construction limits prior to the start of construction activities to protect the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d. Except as necessary to facilitate construction activities, the staging and/or storage of construction equipment will not take place outside proposed construction limits, within property boundaries, as shown on attached mapping and plans.</w:t>
      </w:r>
    </w:p>
    <w:p>
      <w:pPr>
        <w:pStyle w:val="BodyText0"/>
        <w:keepNext/>
        <w:rPr>
          <w:rStyle w:val="DefaultParagraphFont"/>
          <w:rFonts w:ascii="Calibri" w:eastAsia="Calibri" w:hAnsi="Calibri" w:cs="Calibri"/>
        </w:rPr>
      </w:pPr>
      <w:r>
        <w:rPr>
          <w:rStyle w:val="DefaultParagraphFont"/>
          <w:rFonts w:ascii="Calibri" w:eastAsia="Calibri" w:hAnsi="Calibri" w:cs="Calibri"/>
        </w:rPr>
        <w:t>e. The contractor will closely coordinate the construction schedule with the City of Toledo Division of Parks, Recreation, and Forestry and Toledo Metroparks.</w:t>
      </w:r>
    </w:p>
    <w:p>
      <w:pPr>
        <w:pStyle w:val="BodyText0"/>
        <w:keepNext/>
        <w:rPr>
          <w:rStyle w:val="DefaultParagraphFont"/>
          <w:rFonts w:ascii="Calibri" w:eastAsia="Calibri" w:hAnsi="Calibri" w:cs="Calibri"/>
        </w:rPr>
      </w:pPr>
      <w:r>
        <w:rPr>
          <w:rStyle w:val="DefaultParagraphFont"/>
          <w:rFonts w:ascii="Calibri" w:eastAsia="Calibri" w:hAnsi="Calibri" w:cs="Calibri"/>
        </w:rPr>
        <w:t>f. The duration of occupancy shall be temporary and less than half the time needed for construction, and there will be no permanent change in ownership of the land.</w:t>
      </w:r>
    </w:p>
    <w:p>
      <w:pPr>
        <w:pStyle w:val="BodyText0"/>
        <w:keepNext/>
        <w:rPr>
          <w:rStyle w:val="DefaultParagraphFont"/>
          <w:rFonts w:ascii="Calibri" w:eastAsia="Calibri" w:hAnsi="Calibri" w:cs="Calibri"/>
        </w:rPr>
      </w:pPr>
      <w:r>
        <w:rPr>
          <w:rStyle w:val="DefaultParagraphFont"/>
          <w:rFonts w:ascii="Calibri" w:eastAsia="Calibri" w:hAnsi="Calibri" w:cs="Calibri"/>
        </w:rPr>
        <w:t>g. There shall be no permanent adverse physical impacts, nor interference with recreational activities, features, or attributes on a permanent basis.</w:t>
      </w:r>
    </w:p>
    <w:p>
      <w:pPr>
        <w:pStyle w:val="BodyText0"/>
        <w:keepNext/>
        <w:rPr>
          <w:rStyle w:val="DefaultParagraphFont"/>
          <w:rFonts w:ascii="Calibri" w:eastAsia="Calibri" w:hAnsi="Calibri" w:cs="Calibri"/>
        </w:rPr>
      </w:pPr>
      <w:r>
        <w:rPr>
          <w:rStyle w:val="DefaultParagraphFont"/>
          <w:rFonts w:ascii="Calibri" w:eastAsia="Calibri" w:hAnsi="Calibri" w:cs="Calibri"/>
        </w:rPr>
        <w:t>h. Any land disturbed will be fully restored to a condition, which is at least as good as that which existed prior to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notify the United States Coast Guard (USCG) 30 days prior to the start of work that temporarily alters navigational clearances, places equipment in the water, or could potentially effect navigation during the project.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Scaffolding, containment, cables or other equipment below low steel of the bridge at the center 200 feet is not authorized. The use of a man lift or moving platform that can be easily moved outside of the center 200' or above low steel to accommodate vessel passage may be authorized; however, requires coordination and authorization through the United States Coast Guard (USCG).</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This project is subject to the requirements of Section 4(f) of the Department of Transportation (DOT) Act of 1966, which affords protection to publicly-owned parks, recreation areas, and wildlife and waterfowl refuges.  The following measures to minimize harm shall be followed throughout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a. Access to the Ottawa Street bike path and Rails to Trails Next to Maumee River Trail will be maintained at all times, except for the time needed for temporary occupancy of the property and/or closures needed to facilitate construction activities. Appropriate signage will be installed along Ottawa Street bike path and Rails to Trails Next to Maumee River Trail to alert users of construction activities and/or detours, if in proximity to recreational facilities or features.</w:t>
      </w:r>
    </w:p>
    <w:p>
      <w:pPr>
        <w:pStyle w:val="BodyText1"/>
        <w:keepNext/>
        <w:rPr>
          <w:rStyle w:val="DefaultParagraphFont"/>
          <w:rFonts w:ascii="Calibri" w:eastAsia="Calibri" w:hAnsi="Calibri" w:cs="Calibri"/>
        </w:rPr>
      </w:pPr>
      <w:r>
        <w:rPr>
          <w:rStyle w:val="DefaultParagraphFont"/>
          <w:rFonts w:ascii="Calibri" w:eastAsia="Calibri" w:hAnsi="Calibri" w:cs="Calibri"/>
        </w:rPr>
        <w:t>b. Access to Middlegrounds Park and International Park will be maintained at all times, except for the time needed for temporary occupancy of the property and/or closures needed to facilitate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c. Temporary construction fencing shall be installed along proposed construction limits prior to the start of construction activities to protect the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d. Except as necessary to facilitate construction activities, the staging and/or storage of construction equipment will not take place outside proposed construction limits, within property boundaries, as shown on attached mapping and plans.</w:t>
      </w:r>
    </w:p>
    <w:p>
      <w:pPr>
        <w:pStyle w:val="BodyText1"/>
        <w:keepNext/>
        <w:rPr>
          <w:rStyle w:val="DefaultParagraphFont"/>
          <w:rFonts w:ascii="Calibri" w:eastAsia="Calibri" w:hAnsi="Calibri" w:cs="Calibri"/>
        </w:rPr>
      </w:pPr>
      <w:r>
        <w:rPr>
          <w:rStyle w:val="DefaultParagraphFont"/>
          <w:rFonts w:ascii="Calibri" w:eastAsia="Calibri" w:hAnsi="Calibri" w:cs="Calibri"/>
        </w:rPr>
        <w:t>e. The contractor will closely coordinate the construction schedule with the City of Toledo Division of Parks, Recreation, and Forestry and Toledo Metroparks.</w:t>
      </w:r>
    </w:p>
    <w:p>
      <w:pPr>
        <w:pStyle w:val="BodyText1"/>
        <w:keepNext/>
        <w:rPr>
          <w:rStyle w:val="DefaultParagraphFont"/>
          <w:rFonts w:ascii="Calibri" w:eastAsia="Calibri" w:hAnsi="Calibri" w:cs="Calibri"/>
        </w:rPr>
      </w:pPr>
      <w:r>
        <w:rPr>
          <w:rStyle w:val="DefaultParagraphFont"/>
          <w:rFonts w:ascii="Calibri" w:eastAsia="Calibri" w:hAnsi="Calibri" w:cs="Calibri"/>
        </w:rPr>
        <w:t>f. The duration of occupancy shall be temporary and less than half the time needed for construction, and there will be no permanent change in ownership of the land.</w:t>
      </w:r>
    </w:p>
    <w:p>
      <w:pPr>
        <w:pStyle w:val="BodyText1"/>
        <w:keepNext/>
        <w:rPr>
          <w:rStyle w:val="DefaultParagraphFont"/>
          <w:rFonts w:ascii="Calibri" w:eastAsia="Calibri" w:hAnsi="Calibri" w:cs="Calibri"/>
        </w:rPr>
      </w:pPr>
      <w:r>
        <w:rPr>
          <w:rStyle w:val="DefaultParagraphFont"/>
          <w:rFonts w:ascii="Calibri" w:eastAsia="Calibri" w:hAnsi="Calibri" w:cs="Calibri"/>
        </w:rPr>
        <w:t>g. There shall be no permanent adverse physical impacts, nor interference with recreational activities, features, or attributes on a permanent basis.</w:t>
      </w:r>
    </w:p>
    <w:p>
      <w:pPr>
        <w:pStyle w:val="BodyText1"/>
        <w:keepNext/>
        <w:rPr>
          <w:rStyle w:val="DefaultParagraphFont"/>
          <w:rFonts w:ascii="Calibri" w:eastAsia="Calibri" w:hAnsi="Calibri" w:cs="Calibri"/>
        </w:rPr>
      </w:pPr>
      <w:r>
        <w:rPr>
          <w:rStyle w:val="DefaultParagraphFont"/>
          <w:rFonts w:ascii="Calibri" w:eastAsia="Calibri" w:hAnsi="Calibri" w:cs="Calibri"/>
        </w:rPr>
        <w:t>h. Any land disturbed will be fully restored to a condition, which is at least as good as that which existed prior to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notify the United States Coast Guard (USCG) 30 days prior to the start of work that temporarily alters navigational clearances, places equipment in the water, or could potentially effect navigation during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Scaffolding, containment, cables or other equipment below low steel of the bridge at the center 200 feet is not authorized. The use of a man lift or moving platform that can be easily moved outside of the center 200' or above low steel to accommodate vessel passage may be authorized; however, requires coordination and authorization through the United States Coast Guard (USCG).</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Painting Impact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4(f) Exemption Email.pdf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Map.GIF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Suply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Section 4(f) 6(f)</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Mapping .GIF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Mapping .GIF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Information Packet for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Website.pdf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15</w:t>
    </w:r>
    <w:r>
      <w:fldChar w:fldCharType="end"/>
    </w:r>
    <w:r>
      <w:t xml:space="preserve"> of </w:t>
    </w:r>
    <w:r>
      <w:fldChar w:fldCharType="begin"/>
    </w:r>
    <w:r>
      <w:instrText xml:space="preserve"> NUMPAGES   \* MERGEFORMAT </w:instrText>
    </w:r>
    <w:r>
      <w:fldChar w:fldCharType="separate"/>
    </w:r>
    <w:r w:rsidR="00A677E6">
      <w:rPr>
        <w:noProof/>
      </w:rPr>
      <w:t>15</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92331 LUC SR 2 18.62 Bridge Paint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92331 LUC SR 2 18.62 Bridge Paint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92331 LUC SR 2 18.62 Bridge Paint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92331 LUC SR 2 18.62 Bridge Paint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92331 LUC SR 2 18.62 Bridge Paint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2016-01-08T05:00:00+00:00</DateCompleted>
    <Internal_x0020_Only xmlns="df873bd8-8520-468a-8ecb-74db49e47217">No</Internal_x0020_Only>
    <FID xmlns="df873bd8-8520-468a-8ecb-74db49e47217">5585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D4DF862-A05C-4DE4-85E3-335CFCB80364}"/>
</file>

<file path=customXml/itemProps2.xml><?xml version="1.0" encoding="utf-8"?>
<ds:datastoreItem xmlns:ds="http://schemas.openxmlformats.org/officeDocument/2006/customXml" ds:itemID="{EAC431D4-11D6-4B31-AEAF-788C5442A0F1}"/>
</file>

<file path=customXml/itemProps3.xml><?xml version="1.0" encoding="utf-8"?>
<ds:datastoreItem xmlns:ds="http://schemas.openxmlformats.org/officeDocument/2006/customXml" ds:itemID="{A742A9B4-3FD1-4D38-8801-50F1CAD6063B}"/>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