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FACD04 STA PY OP PID 101229</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December 7,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12</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101229</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4-HMA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TheFACD04 PY OP facility project proposes toconstruct a new outpost service facility on an approximately 8.2-acre area ofOhio Department of Transportation property, Stark County Parcel #4380163, located in Perry Township, Stark County, Ohio.The proposed new outpost service facility project will include construction of a newoffice building, cold storage buildings, truck/equipment storage garage, indoor truck washing station, above ground fuel storage system, paved parkinglot, equipment/materials staging areas, access drives and stormwater, sanitary,telephone, electric and gas utility improvements on approximately 6.5 acres of the 8.2 acre property (</w:t>
      </w:r>
      <w:r>
        <w:rPr>
          <w:rStyle w:val="DefaultParagraphFont"/>
          <w:rFonts w:ascii="Calibri" w:eastAsia="Calibri" w:hAnsi="Calibri" w:cs="Calibri"/>
          <w:i/>
        </w:rPr>
        <w:t>i.e</w:t>
      </w:r>
      <w:r>
        <w:rPr>
          <w:rStyle w:val="DefaultParagraphFont"/>
          <w:rFonts w:ascii="Calibri" w:eastAsia="Calibri" w:hAnsi="Calibri" w:cs="Calibri"/>
        </w:rPr>
        <w:t>., the projectstudy area).  The final layout of the proposed new outpost service facility has not yet been determined.</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No streams, wetlands or other waters of the United States were identified in the 8.2 acre project study area during the site reconnaissance activities conducted by ODOT District 4 Environmental Section personnel.</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study area is located within the Western Management Unit for the Indiana bat and Northern Long-eared bat.  Approximately 0.94 acre of suitable wooded habitat (SWH) is proposed for removal to construct this project.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 xml:space="preserve">Statewide Line Item (SLI) Number 99 and is fiscally constrained. </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May Affect,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Affect, Not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03/30/2016</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Endangered Species - Critical Habitat Present/Impacted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Indiana bat</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Northern long-eared bat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Other Critical Habitat Present/Impacted: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11/05/2015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Non-Urbanized Area; No Impacts in Accordance With the Farmland MOU, 7 CFR 658, and ORC 929.05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BodyTextIndent0"/>
        <w:keepNext/>
        <w:rPr>
          <w:rStyle w:val="DefaultParagraphFont"/>
          <w:rFonts w:ascii="Calibri" w:eastAsia="Calibri" w:hAnsi="Calibri" w:cs="Calibri"/>
        </w:rPr>
      </w:pPr>
      <w:r>
        <w:rPr>
          <w:rStyle w:val="DefaultParagraphFont"/>
          <w:rFonts w:ascii="Calibri" w:eastAsia="Calibri" w:hAnsi="Calibri" w:cs="Calibri"/>
        </w:rPr>
        <w:t>2. The contractor will advise the ODOT Project Engineer a minimum of twenty-one (21) days prior to the start of construction activities.  The contractor must also provide notification to the ODOT Project Engineer a minimum of twenty-one (21) days prior to any lane restrictions or closures.  The ODOT Project Engineer will forward this information to the ODOT District Public Information Officer for use to notify emergency services and the public a minimum of fourteen (14) days prior to the start of project construction,  Included in the this notification will be the proposed lane restrictions, road closures and detours required by the project.</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2. The contractor will advise the ODOT Project Engineer a minimum of twenty-one (21) days prior to the start of construction activities.  The contractor must also provide notification to the ODOT Project Engineer a minimum of twenty-one (21) days prior to any lane restrictions or closures.  The ODOT Project Engineer will forward this information to the ODOT District Public Information Officer for use to notify emergency services and the public a minimum of fourteen (14) days prior to the start of project construction,  Included in the this notification will be the proposed lane restrictions, road closures and detours required by the project.</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Brian Peck, </w:t>
            </w:r>
            <w:r>
              <w:rPr>
                <w:rStyle w:val="DefaultParagraphFont"/>
                <w:b w:val="0"/>
                <w:sz w:val="24"/>
                <w:szCs w:val="24"/>
                <w:lang w:val="en-US" w:eastAsia="en-US" w:bidi="ar-SA"/>
              </w:rPr>
              <w:t>Nathan Crozier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December 7,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December 7,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ESA</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OES Coordination IOC.pdf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Cultural Resources</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SHPO 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Ecological</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STA-Perry Outpost PID 101229 Level 1 ESR.pdf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ODNR.pdf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USFWS.pdf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USFWS-2.pdf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ODNR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Related Correspondence Containing an OES Decision.pdf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Consult Form STA-Perry Outpost PID101229.pdf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Response to Agency Comments.pdf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Other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Zoning Map.pdf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Environmental Justice</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Environmental Justice Form.pdf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Permits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13</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13</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101229 FACD04 STA PY OP</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7,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101229 FACD04 STA PY OP</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7,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101229 FACD04 STA PY OP</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7,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101229 FACD04 STA PY OP</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7,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101229 FACD04 STA PY OP</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7,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2016-12-07T05:00:00+00:00</DateCompleted>
    <Internal_x0020_Only xmlns="df873bd8-8520-468a-8ecb-74db49e47217">No</Internal_x0020_Only>
    <FID xmlns="df873bd8-8520-468a-8ecb-74db49e47217">5621</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8DF44C61-79A2-429A-978B-2248F6949CB2}"/>
</file>

<file path=customXml/itemProps2.xml><?xml version="1.0" encoding="utf-8"?>
<ds:datastoreItem xmlns:ds="http://schemas.openxmlformats.org/officeDocument/2006/customXml" ds:itemID="{84F682B4-E0C6-44FF-BF05-5987603E9DA2}"/>
</file>

<file path=customXml/itemProps3.xml><?xml version="1.0" encoding="utf-8"?>
<ds:datastoreItem xmlns:ds="http://schemas.openxmlformats.org/officeDocument/2006/customXml" ds:itemID="{9BC3F0D4-BB87-4286-82D9-E8ED0534B1C0}"/>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