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Pile Encas/Slopes FY18 PID 101872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amy Allen</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101872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The D02 Pile Encas/Slopes FY18 (PID101872) project proposes maintenance activities at 20 bridge locations inFulton, Henry, Seneca, Williams, and Wood Counties in ODOT District 2.  Detailed location maps are included in the project file.  At eachbridge site, ODOT proposes to repair the bridge pier piles by encasing the baseof the piles in concrete to fortify the supports and prevent corrosion of the metal pier pile.  Some excavation of sediments around each pier pile will be necessaryand limited slope stabilization may be required. In-stream excavation will not exceed3 feet in depth at any site. All construction activities will be limited to thefootprint of the bridge and 20 linear feet upstream and downstream of thestructure. </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 xml:space="preserve">The project sites are located in rural, primarily agricultural, areas in northwest Ohio. The majority of the study areas were dominated bydeveloped open space vegetative communities that are typical of disturbed andmaintained road right-of-way. Portions of some bridge study areas includedforested riparian corridors. Several bridges cross large streams and are located in mapped FEMA Special Flood Hazard Areas. Floodplain coordination can be found in the project file. Two of the work locations are within surface water drinking water corridor management areas which require a plan note for the protection of those drinking water resources. </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 xml:space="preserve">An ecological survey was performed ateach bridge site to determine potential impacts to aquatic resources.Twenty-one (21) streams and eight (8) wetlands were identified within the studyareas associated with the project. Permanent impacts to twenty-one (21) streamsand five (5) wetlands are required to complete the bridge maintenance.Temporary impacts to twenty-one (21) streams and six (6) wetlands are requiredfor construction access.  Please see the project file for the Wetland Determination. </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Based on coordination with the Ohio Department of Natural Resources (ODNR), Phase 1 mussel surveys and relocations will be conducted (prior to any in-waterwork) at the following sites: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FUL-20A-0253</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HEN-109-0438</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HEN-109-0878</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HEN-109-1355</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WIL-15-0011</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WIL-15-0292</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WIL-20-1488</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WIL-20A-0866</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WIL-49-2002</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WIL-576-2011</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WOO-281-1418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11/03/2016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09/02/2016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of any major, disruptive, time-delaying traffic control changes or detours during construction. Upon receipt of notice from the contractor, ODOT will notify affected agencies including local media outlets, schools, police, fire, emergency services, bus transportation departments, and post offices 15 days prior to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requires a waterway permit for stream and wetland impacts which shall be attached to the plans as Special Provisions. No work below the Ordinary High Water Mark (OHWM) shall take place until the proper permit is obtained by ODOT. All conditions of the permit shall be followed throughout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3. No impacts shall occur to Wetland D located within the study area of SEN-101-0810.</w:t>
      </w:r>
    </w:p>
    <w:p>
      <w:pPr>
        <w:pStyle w:val="BodyText0"/>
        <w:keepNext/>
        <w:rPr>
          <w:rStyle w:val="DefaultParagraphFont"/>
          <w:rFonts w:ascii="Calibri" w:eastAsia="Calibri" w:hAnsi="Calibri" w:cs="Calibri"/>
        </w:rPr>
      </w:pPr>
      <w:r>
        <w:rPr>
          <w:rStyle w:val="DefaultParagraphFont"/>
          <w:rFonts w:ascii="Calibri" w:eastAsia="Calibri" w:hAnsi="Calibri" w:cs="Calibri"/>
        </w:rPr>
        <w:t>4. The project is located within the known habitat ranges of the federally listed and protected Indiana bat and northern long-eared bat. If it is necessary to remove trees for site access, all tree removal must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5. Due to work in a Zone A floodplain, the letter of compliance (LD-51 Form) and calculations showing that the carrying capacity of the streams will not change due to the work. All floodplain regulations shall be followed throughout design and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ODOT shall ensure that a mussel survey shall be performed at the following locations prior to any work below the Ordinary High Water Mark (OHWM) of the stream: </w:t>
      </w:r>
    </w:p>
    <w:p>
      <w:pPr>
        <w:pStyle w:val="BodyText0"/>
        <w:keepNext/>
        <w:rPr>
          <w:rStyle w:val="DefaultParagraphFont"/>
          <w:rFonts w:ascii="Calibri" w:eastAsia="Calibri" w:hAnsi="Calibri" w:cs="Calibri"/>
        </w:rPr>
      </w:pPr>
      <w:r>
        <w:rPr>
          <w:rStyle w:val="DefaultParagraphFont"/>
          <w:rFonts w:ascii="Calibri" w:eastAsia="Calibri" w:hAnsi="Calibri" w:cs="Calibri"/>
        </w:rPr>
        <w:t>FUL-20A-2.53</w:t>
      </w:r>
    </w:p>
    <w:p>
      <w:pPr>
        <w:pStyle w:val="BodyText0"/>
        <w:keepNext/>
        <w:rPr>
          <w:rStyle w:val="DefaultParagraphFont"/>
          <w:rFonts w:ascii="Calibri" w:eastAsia="Calibri" w:hAnsi="Calibri" w:cs="Calibri"/>
        </w:rPr>
      </w:pPr>
      <w:r>
        <w:rPr>
          <w:rStyle w:val="DefaultParagraphFont"/>
          <w:rFonts w:ascii="Calibri" w:eastAsia="Calibri" w:hAnsi="Calibri" w:cs="Calibri"/>
        </w:rPr>
        <w:t>HEN-109-4.38</w:t>
      </w:r>
    </w:p>
    <w:p>
      <w:pPr>
        <w:pStyle w:val="BodyText0"/>
        <w:keepNext/>
        <w:rPr>
          <w:rStyle w:val="DefaultParagraphFont"/>
          <w:rFonts w:ascii="Calibri" w:eastAsia="Calibri" w:hAnsi="Calibri" w:cs="Calibri"/>
        </w:rPr>
      </w:pPr>
      <w:r>
        <w:rPr>
          <w:rStyle w:val="DefaultParagraphFont"/>
          <w:rFonts w:ascii="Calibri" w:eastAsia="Calibri" w:hAnsi="Calibri" w:cs="Calibri"/>
        </w:rPr>
        <w:t>HEN-109-8.78</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HEN-109-13.55 </w:t>
      </w:r>
    </w:p>
    <w:p>
      <w:pPr>
        <w:pStyle w:val="BodyText0"/>
        <w:keepNext/>
        <w:rPr>
          <w:rStyle w:val="DefaultParagraphFont"/>
          <w:rFonts w:ascii="Calibri" w:eastAsia="Calibri" w:hAnsi="Calibri" w:cs="Calibri"/>
        </w:rPr>
      </w:pPr>
      <w:r>
        <w:rPr>
          <w:rStyle w:val="DefaultParagraphFont"/>
          <w:rFonts w:ascii="Calibri" w:eastAsia="Calibri" w:hAnsi="Calibri" w:cs="Calibri"/>
        </w:rPr>
        <w:t>WIL-15-0.11</w:t>
      </w:r>
    </w:p>
    <w:p>
      <w:pPr>
        <w:pStyle w:val="BodyText0"/>
        <w:keepNext/>
        <w:rPr>
          <w:rStyle w:val="DefaultParagraphFont"/>
          <w:rFonts w:ascii="Calibri" w:eastAsia="Calibri" w:hAnsi="Calibri" w:cs="Calibri"/>
        </w:rPr>
      </w:pPr>
      <w:r>
        <w:rPr>
          <w:rStyle w:val="DefaultParagraphFont"/>
          <w:rFonts w:ascii="Calibri" w:eastAsia="Calibri" w:hAnsi="Calibri" w:cs="Calibri"/>
        </w:rPr>
        <w:t>WIL-15-2.92</w:t>
      </w:r>
    </w:p>
    <w:p>
      <w:pPr>
        <w:pStyle w:val="BodyText0"/>
        <w:keepNext/>
        <w:rPr>
          <w:rStyle w:val="DefaultParagraphFont"/>
          <w:rFonts w:ascii="Calibri" w:eastAsia="Calibri" w:hAnsi="Calibri" w:cs="Calibri"/>
        </w:rPr>
      </w:pPr>
      <w:r>
        <w:rPr>
          <w:rStyle w:val="DefaultParagraphFont"/>
          <w:rFonts w:ascii="Calibri" w:eastAsia="Calibri" w:hAnsi="Calibri" w:cs="Calibri"/>
        </w:rPr>
        <w:t>WIL-20-14.88</w:t>
      </w:r>
    </w:p>
    <w:p>
      <w:pPr>
        <w:pStyle w:val="BodyText0"/>
        <w:keepNext/>
        <w:rPr>
          <w:rStyle w:val="DefaultParagraphFont"/>
          <w:rFonts w:ascii="Calibri" w:eastAsia="Calibri" w:hAnsi="Calibri" w:cs="Calibri"/>
        </w:rPr>
      </w:pPr>
      <w:r>
        <w:rPr>
          <w:rStyle w:val="DefaultParagraphFont"/>
          <w:rFonts w:ascii="Calibri" w:eastAsia="Calibri" w:hAnsi="Calibri" w:cs="Calibri"/>
        </w:rPr>
        <w:t>WIL-20A-8.66</w:t>
      </w:r>
    </w:p>
    <w:p>
      <w:pPr>
        <w:pStyle w:val="BodyText0"/>
        <w:keepNext/>
        <w:rPr>
          <w:rStyle w:val="DefaultParagraphFont"/>
          <w:rFonts w:ascii="Calibri" w:eastAsia="Calibri" w:hAnsi="Calibri" w:cs="Calibri"/>
        </w:rPr>
      </w:pPr>
      <w:r>
        <w:rPr>
          <w:rStyle w:val="DefaultParagraphFont"/>
          <w:rFonts w:ascii="Calibri" w:eastAsia="Calibri" w:hAnsi="Calibri" w:cs="Calibri"/>
        </w:rPr>
        <w:t>WIL-49-20.02</w:t>
      </w:r>
    </w:p>
    <w:p>
      <w:pPr>
        <w:pStyle w:val="BodyText0"/>
        <w:keepNext/>
        <w:rPr>
          <w:rStyle w:val="DefaultParagraphFont"/>
          <w:rFonts w:ascii="Calibri" w:eastAsia="Calibri" w:hAnsi="Calibri" w:cs="Calibri"/>
        </w:rPr>
      </w:pPr>
      <w:r>
        <w:rPr>
          <w:rStyle w:val="DefaultParagraphFont"/>
          <w:rFonts w:ascii="Calibri" w:eastAsia="Calibri" w:hAnsi="Calibri" w:cs="Calibri"/>
        </w:rPr>
        <w:t>WIL-576-20.11</w:t>
      </w:r>
    </w:p>
    <w:p>
      <w:pPr>
        <w:pStyle w:val="BodyText0"/>
        <w:keepNext/>
        <w:rPr>
          <w:rStyle w:val="DefaultParagraphFont"/>
          <w:rFonts w:ascii="Calibri" w:eastAsia="Calibri" w:hAnsi="Calibri" w:cs="Calibri"/>
        </w:rPr>
      </w:pPr>
      <w:r>
        <w:rPr>
          <w:rStyle w:val="DefaultParagraphFont"/>
          <w:rFonts w:ascii="Calibri" w:eastAsia="Calibri" w:hAnsi="Calibri" w:cs="Calibri"/>
        </w:rPr>
        <w:t>WIL-281-14.18</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8.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ODOT and the contractor shall ensure that traffic is maintained at all times.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10. A note will be added to the construction plans in order to address the project's location in relation to the drinking water source.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of any major, disruptive, time-delaying traffic control changes or detours during construction. Upon receipt of notice from the contractor, ODOT will notify affected agencies including local media outlets, schools, police, fire, emergency services, bus transportation departments, and post offices 15 days prior to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requires a waterway permit for stream and wetland impacts which shall be attached to the plans as Special Provisions. No work below the Ordinary High Water Mark (OHWM) shall take place until the proper permit is obtained by ODOT. All conditions of the permit shall be followed throughout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3. No impacts shall occur to Wetland D located within the study area of SEN-101-0810.</w:t>
      </w:r>
    </w:p>
    <w:p>
      <w:pPr>
        <w:pStyle w:val="BodyText1"/>
        <w:keepNext/>
        <w:rPr>
          <w:rStyle w:val="DefaultParagraphFont"/>
          <w:rFonts w:ascii="Calibri" w:eastAsia="Calibri" w:hAnsi="Calibri" w:cs="Calibri"/>
        </w:rPr>
      </w:pPr>
      <w:r>
        <w:rPr>
          <w:rStyle w:val="DefaultParagraphFont"/>
          <w:rFonts w:ascii="Calibri" w:eastAsia="Calibri" w:hAnsi="Calibri" w:cs="Calibri"/>
        </w:rPr>
        <w:t>4. The project is located within the known habitat ranges of the federally listed and protected Indiana bat and northern long-eared bat. If it is necessary to remove trees for site access, all tree removal must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5. Due to work in a Zone A floodplain, the letter of compliance (LD-51 Form) and calculations showing that the carrying capacity of the streams will not change due to the work. All floodplain regulations shall be followed throughout design and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ODOT shall ensure that a mussel survey shall be performed at the following locations prior to any work below the Ordinary High Water Mark (OHWM) of the stream: </w:t>
      </w:r>
    </w:p>
    <w:p>
      <w:pPr>
        <w:pStyle w:val="BodyText1"/>
        <w:keepNext/>
        <w:rPr>
          <w:rStyle w:val="DefaultParagraphFont"/>
          <w:rFonts w:ascii="Calibri" w:eastAsia="Calibri" w:hAnsi="Calibri" w:cs="Calibri"/>
        </w:rPr>
      </w:pPr>
      <w:r>
        <w:rPr>
          <w:rStyle w:val="DefaultParagraphFont"/>
          <w:rFonts w:ascii="Calibri" w:eastAsia="Calibri" w:hAnsi="Calibri" w:cs="Calibri"/>
        </w:rPr>
        <w:t>FUL-20A-2.53</w:t>
      </w:r>
    </w:p>
    <w:p>
      <w:pPr>
        <w:pStyle w:val="BodyText1"/>
        <w:keepNext/>
        <w:rPr>
          <w:rStyle w:val="DefaultParagraphFont"/>
          <w:rFonts w:ascii="Calibri" w:eastAsia="Calibri" w:hAnsi="Calibri" w:cs="Calibri"/>
        </w:rPr>
      </w:pPr>
      <w:r>
        <w:rPr>
          <w:rStyle w:val="DefaultParagraphFont"/>
          <w:rFonts w:ascii="Calibri" w:eastAsia="Calibri" w:hAnsi="Calibri" w:cs="Calibri"/>
        </w:rPr>
        <w:t>HEN-109-4.38</w:t>
      </w:r>
    </w:p>
    <w:p>
      <w:pPr>
        <w:pStyle w:val="BodyText1"/>
        <w:keepNext/>
        <w:rPr>
          <w:rStyle w:val="DefaultParagraphFont"/>
          <w:rFonts w:ascii="Calibri" w:eastAsia="Calibri" w:hAnsi="Calibri" w:cs="Calibri"/>
        </w:rPr>
      </w:pPr>
      <w:r>
        <w:rPr>
          <w:rStyle w:val="DefaultParagraphFont"/>
          <w:rFonts w:ascii="Calibri" w:eastAsia="Calibri" w:hAnsi="Calibri" w:cs="Calibri"/>
        </w:rPr>
        <w:t>HEN-109-8.78</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HEN-109-13.55 </w:t>
      </w:r>
    </w:p>
    <w:p>
      <w:pPr>
        <w:pStyle w:val="BodyText1"/>
        <w:keepNext/>
        <w:rPr>
          <w:rStyle w:val="DefaultParagraphFont"/>
          <w:rFonts w:ascii="Calibri" w:eastAsia="Calibri" w:hAnsi="Calibri" w:cs="Calibri"/>
        </w:rPr>
      </w:pPr>
      <w:r>
        <w:rPr>
          <w:rStyle w:val="DefaultParagraphFont"/>
          <w:rFonts w:ascii="Calibri" w:eastAsia="Calibri" w:hAnsi="Calibri" w:cs="Calibri"/>
        </w:rPr>
        <w:t>WIL-15-0.11</w:t>
      </w:r>
    </w:p>
    <w:p>
      <w:pPr>
        <w:pStyle w:val="BodyText1"/>
        <w:keepNext/>
        <w:rPr>
          <w:rStyle w:val="DefaultParagraphFont"/>
          <w:rFonts w:ascii="Calibri" w:eastAsia="Calibri" w:hAnsi="Calibri" w:cs="Calibri"/>
        </w:rPr>
      </w:pPr>
      <w:r>
        <w:rPr>
          <w:rStyle w:val="DefaultParagraphFont"/>
          <w:rFonts w:ascii="Calibri" w:eastAsia="Calibri" w:hAnsi="Calibri" w:cs="Calibri"/>
        </w:rPr>
        <w:t>WIL-15-2.92</w:t>
      </w:r>
    </w:p>
    <w:p>
      <w:pPr>
        <w:pStyle w:val="BodyText1"/>
        <w:keepNext/>
        <w:rPr>
          <w:rStyle w:val="DefaultParagraphFont"/>
          <w:rFonts w:ascii="Calibri" w:eastAsia="Calibri" w:hAnsi="Calibri" w:cs="Calibri"/>
        </w:rPr>
      </w:pPr>
      <w:r>
        <w:rPr>
          <w:rStyle w:val="DefaultParagraphFont"/>
          <w:rFonts w:ascii="Calibri" w:eastAsia="Calibri" w:hAnsi="Calibri" w:cs="Calibri"/>
        </w:rPr>
        <w:t>WIL-20-14.88</w:t>
      </w:r>
    </w:p>
    <w:p>
      <w:pPr>
        <w:pStyle w:val="BodyText1"/>
        <w:keepNext/>
        <w:rPr>
          <w:rStyle w:val="DefaultParagraphFont"/>
          <w:rFonts w:ascii="Calibri" w:eastAsia="Calibri" w:hAnsi="Calibri" w:cs="Calibri"/>
        </w:rPr>
      </w:pPr>
      <w:r>
        <w:rPr>
          <w:rStyle w:val="DefaultParagraphFont"/>
          <w:rFonts w:ascii="Calibri" w:eastAsia="Calibri" w:hAnsi="Calibri" w:cs="Calibri"/>
        </w:rPr>
        <w:t>WIL-20A-8.66</w:t>
      </w:r>
    </w:p>
    <w:p>
      <w:pPr>
        <w:pStyle w:val="BodyText1"/>
        <w:keepNext/>
        <w:rPr>
          <w:rStyle w:val="DefaultParagraphFont"/>
          <w:rFonts w:ascii="Calibri" w:eastAsia="Calibri" w:hAnsi="Calibri" w:cs="Calibri"/>
        </w:rPr>
      </w:pPr>
      <w:r>
        <w:rPr>
          <w:rStyle w:val="DefaultParagraphFont"/>
          <w:rFonts w:ascii="Calibri" w:eastAsia="Calibri" w:hAnsi="Calibri" w:cs="Calibri"/>
        </w:rPr>
        <w:t>WIL-49-20.02</w:t>
      </w:r>
    </w:p>
    <w:p>
      <w:pPr>
        <w:pStyle w:val="BodyText1"/>
        <w:keepNext/>
        <w:rPr>
          <w:rStyle w:val="DefaultParagraphFont"/>
          <w:rFonts w:ascii="Calibri" w:eastAsia="Calibri" w:hAnsi="Calibri" w:cs="Calibri"/>
        </w:rPr>
      </w:pPr>
      <w:r>
        <w:rPr>
          <w:rStyle w:val="DefaultParagraphFont"/>
          <w:rFonts w:ascii="Calibri" w:eastAsia="Calibri" w:hAnsi="Calibri" w:cs="Calibri"/>
        </w:rPr>
        <w:t>WIL-576-20.11</w:t>
      </w:r>
    </w:p>
    <w:p>
      <w:pPr>
        <w:pStyle w:val="BodyText1"/>
        <w:keepNext/>
        <w:rPr>
          <w:rStyle w:val="DefaultParagraphFont"/>
          <w:rFonts w:ascii="Calibri" w:eastAsia="Calibri" w:hAnsi="Calibri" w:cs="Calibri"/>
        </w:rPr>
      </w:pPr>
      <w:r>
        <w:rPr>
          <w:rStyle w:val="DefaultParagraphFont"/>
          <w:rFonts w:ascii="Calibri" w:eastAsia="Calibri" w:hAnsi="Calibri" w:cs="Calibri"/>
        </w:rPr>
        <w:t>WIL-281-14.18</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8.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ODOT and the contractor shall ensure that traffic is maintained at all times.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10. A note will be added to the construction plans in order to address the project's location in relation to the drinking water source.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amy Allen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 xml:space="preserve">OH </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amy.allen@davey.com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 xml:space="preserve">Stacy Schimmoeller, </w:t>
            </w:r>
            <w:r>
              <w:rPr>
                <w:rStyle w:val="DefaultParagraphFont"/>
                <w:b w:val="0"/>
                <w:sz w:val="24"/>
                <w:szCs w:val="24"/>
                <w:lang w:val="en-US" w:eastAsia="en-US" w:bidi="ar-SA"/>
              </w:rPr>
              <w:t xml:space="preserve">Gregory Snowden, </w:t>
            </w:r>
            <w:r>
              <w:rPr>
                <w:rStyle w:val="DefaultParagraphFont"/>
                <w:b w:val="0"/>
                <w:sz w:val="24"/>
                <w:szCs w:val="24"/>
                <w:lang w:val="en-US" w:eastAsia="en-US" w:bidi="ar-SA"/>
              </w:rPr>
              <w:t>Jeff Pettit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HEN-65-1618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HEN-65-1671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HEN-109-1355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SEN-18-0569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SEN-67-0046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SEN-4-0239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HEN-6-2784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SEN-101-0810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WIL-20A-0866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HEN-6-0912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FUL-20A-0253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WIL-15-0011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WIL-15-0292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WIL-20-1488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WIL-49-2002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WIL-576-2011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HEN-6-2182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HEN-109-0438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HEN-109-0878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WOO-281-1418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HEN-6-0912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HEN-65-1618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HEN-65-1671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HEN-109-1355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SEN-18-0569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SEN-67-0046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SEN-101-0810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D2 VAR Combined PID 101872.pdf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Determination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C2 EJ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Survey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101872 D02 Pile Encas/Slopes FY18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101872 D02 Pile Encas/Slopes FY18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101872 D02 Pile Encas/Slopes FY18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101872 D02 Pile Encas/Slopes FY18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101872 D02 Pile Encas/Slopes FY18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2017-02-02T05:00:00+00:00</DateCompleted>
    <Internal_x0020_Only xmlns="df873bd8-8520-468a-8ecb-74db49e47217">No</Internal_x0020_Only>
    <FID xmlns="df873bd8-8520-468a-8ecb-74db49e47217">5654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ACB5DAC-F8D3-4C10-BC8E-DB853666F545}"/>
</file>

<file path=customXml/itemProps2.xml><?xml version="1.0" encoding="utf-8"?>
<ds:datastoreItem xmlns:ds="http://schemas.openxmlformats.org/officeDocument/2006/customXml" ds:itemID="{D02D946A-CFDE-4F4E-80A7-5AC6057410BC}"/>
</file>

<file path=customXml/itemProps3.xml><?xml version="1.0" encoding="utf-8"?>
<ds:datastoreItem xmlns:ds="http://schemas.openxmlformats.org/officeDocument/2006/customXml" ds:itemID="{F3C65CE2-6E36-4120-B957-F741C7CB368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