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settings.xml" ContentType="application/vnd.openxmlformats-officedocument.wordprocessingml.settings+xml"/>
  <Override PartName="/docProps/custom.xml" ContentType="application/vnd.openxmlformats-officedocument.custom-properties+xml"/>
  <Override PartName="/word/header6.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header7.xml" ContentType="application/vnd.openxmlformats-officedocument.wordprocessingml.header+xml"/>
  <Override PartName="/word/footer3.xml" ContentType="application/vnd.openxmlformats-officedocument.wordprocessingml.footer+xml"/>
  <Override PartName="/word/styles.xml" ContentType="application/vnd.openxmlformats-officedocument.wordprocessingml.styles+xml"/>
  <Override PartName="/word/header8.xml" ContentType="application/vnd.openxmlformats-officedocument.wordprocessingml.header+xml"/>
  <Override PartName="/word/fontTable.xml" ContentType="application/vnd.openxmlformats-officedocument.wordprocessingml.fontTable+xml"/>
  <Override PartName="/docProps/app.xml" ContentType="application/vnd.openxmlformats-officedocument.extended-properties+xml"/>
  <Override PartName="/word/header3.xml" ContentType="application/vnd.openxmlformats-officedocument.wordprocessingml.header+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5.xml" ContentType="application/vnd.openxmlformats-officedocument.wordprocessingml.header+xml"/>
  <Override PartName="/word/document.xml" ContentType="application/vnd.openxmlformats-officedocument.wordprocessingml.document.main+xml"/>
  <Override PartName="/word/webSettings.xml" ContentType="application/vnd.openxmlformats-officedocument.wordprocessingml.webSettings+xml"/>
  <Override PartName="/word/header2.xml" ContentType="application/vnd.openxmlformats-officedocument.wordprocessingml.header+xml"/>
  <Override PartName="/docProps/core.xml" ContentType="application/vnd.openxmlformats-package.core-properties+xml"/>
  <Override PartName="/word/theme/theme1.xml" ContentType="application/vnd.openxmlformats-officedocument.theme+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LUC US 23 11.65 Bridge Rehab PID 100166</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C1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December 6, 2016</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C1</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10</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C1</w:t>
      </w:r>
      <w:bookmarkEnd w:id="1"/>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100166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Federal</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0"/>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proposes to rehabilitate an existing US Route 23 (US-23) bridge over Ottawa River due to a poor bridge rating. The work includes an overlay of the bridge deck, replace parapets and replace approach slabs. There will be no work below the Ordinary High Water Mark (OHWM) and no waterway permits are required. This project does pass over a special flood hazard area but there will be no impacts to </w:t>
      </w:r>
      <w:r>
        <w:rPr>
          <w:rStyle w:val="DefaultParagraphFont"/>
          <w:rFonts w:ascii="Calibri" w:eastAsia="Calibri" w:hAnsi="Calibri" w:cs="Calibri"/>
          <w:shd w:val="solid" w:color="FFFFFF" w:fill="auto"/>
        </w:rPr>
        <w:t>the floodplain. Traffic</w:t>
      </w:r>
      <w:r>
        <w:rPr>
          <w:rStyle w:val="DefaultParagraphFont"/>
          <w:rFonts w:ascii="Calibri" w:eastAsia="Calibri" w:hAnsi="Calibri" w:cs="Calibri"/>
        </w:rPr>
        <w:t xml:space="preserve"> will be maintained on US-23 throughout construction.  Wild Lupine has been recorded within  a half of a mile of the project location however, none was found by OES and District 2 Staff during a field review on 10/20/2015. </w:t>
      </w:r>
    </w:p>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 Minimum Potential Appendix A</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Cultural Resources Coordination Date: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07/13/2016</w:t>
            </w:r>
          </w:p>
        </w:tc>
      </w:tr>
    </w:tbl>
    <w:tbl>
      <w:tblPr>
        <w:tblStyle w:val="TableNormal"/>
        <w:tblInd w:w="0" w:type="dxa"/>
        <w:tblBorders>
          <w:top w:val="nil"/>
          <w:left w:val="nil"/>
          <w:bottom w:val="nil"/>
          <w:right w:val="nil"/>
          <w:insideH w:val="nil"/>
          <w:insideV w:val="nil"/>
        </w:tblBorders>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Supporting documentation has been uploaded to Project File:</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keepNext/>
              <w:spacing w:after="280" w:afterAutospacing="1"/>
              <w:rPr>
                <w:rStyle w:val="DefaultParagraphFont"/>
              </w:rPr>
            </w:pPr>
            <w:r>
              <w:rPr>
                <w:rStyle w:val="DefaultParagraphFont"/>
                <w:b/>
                <w:sz w:val="24"/>
                <w:szCs w:val="24"/>
                <w:lang w:val="en-US" w:eastAsia="en-US" w:bidi="ar-SA"/>
              </w:rPr>
              <w:t>Select the appropriate project type (more than one can be selected):</w:t>
            </w:r>
          </w:p>
        </w:tc>
        <w:tc>
          <w:tcPr>
            <w:tcW w:w="2880" w:type="dxa"/>
          </w:tcPr>
          <w:p>
            <w:pPr>
              <w:pStyle w:val="BodyText0"/>
              <w:keepNext/>
              <w:spacing w:after="280" w:afterAutospacing="1"/>
              <w:rPr>
                <w:rStyle w:val="DefaultParagraphFont"/>
                <w:b w:val="0"/>
              </w:rPr>
            </w:pPr>
            <w:r>
              <w:rPr>
                <w:rStyle w:val="DefaultParagraphFont"/>
                <w:b w:val="0"/>
                <w:sz w:val="24"/>
                <w:szCs w:val="24"/>
                <w:lang w:val="en-US" w:eastAsia="en-US" w:bidi="ar-SA"/>
              </w:rPr>
              <w:t xml:space="preserve">(22) Projects, as defined in 23 U.S.C. 101, that would take place entirely within the existing operational right-of-way. Existing operational right-of-way refers to right-of-way that has been disturbed for an existing transportation facility or is maintained for a transportation purpose. This area includes the features associated with the physical footprint of the transportation facility (including the roadway, bridges, interchanges, culverts, drainage, fixed guideways, mitigation areas, etc.) and other areas maintained for transportation purposes such as clear zone, traffic control signage, landscaping, any rest areas with direct access to a controlled access highway, areas maintained for safety and security of a transportation facility, parking facilities with direct access to an existing transportation facility, transit power substations, transit venting structures, and transit maintenance facilities. Portions of the right-of-way that have not been disturbed or that are not maintained for transportation purposes are not in the existing operational right-of-way. </w:t>
            </w:r>
            <w:r>
              <w:rPr>
                <w:rStyle w:val="DefaultParagraphFont"/>
                <w:b/>
                <w:i/>
                <w:sz w:val="24"/>
                <w:szCs w:val="24"/>
                <w:lang w:val="en-US" w:eastAsia="en-US" w:bidi="ar-SA"/>
              </w:rPr>
              <w:t>Examples include: Tower lighting within the existing operational right-of-way; Guardrail installation and replacement (including median cable barriers) where roadway ditches and backslopes will not be relocated; Improvements to existing ODOT/County maintenance facilities; Construction of new ODOT/County maintenance facilities within existing operational right-of-way; Environmental mitigation activities within existing operational right-of-way; Work on pedestrian and vehicle transfer structures and associated utilities, buildings, and terminals within existing operational right-of-way; Construction of alternative energy facilities (fuel tank farms, wind turbines, etc.)</w:t>
            </w:r>
          </w:p>
        </w:tc>
      </w:tr>
      <w:tr>
        <w:tblPrEx>
          <w:tblInd w:w="0" w:type="dxa"/>
          <w:tblLayout w:type="fixed"/>
          <w:tblCellMar>
            <w:top w:w="0" w:type="dxa"/>
            <w:left w:w="108" w:type="dxa"/>
            <w:bottom w:w="0" w:type="dxa"/>
            <w:right w:w="108" w:type="dxa"/>
          </w:tblCellMar>
        </w:tblPrEx>
        <w:tc>
          <w:tcPr>
            <w:tcW w:w="2880" w:type="dxa"/>
            <w:shd w:val="clear" w:color="auto" w:fill="auto"/>
          </w:tcPr>
          <w:p>
            <w:pPr>
              <w:pStyle w:val="BodyText0"/>
              <w:keepNext/>
              <w:spacing w:after="280" w:afterAutospacing="1"/>
              <w:rPr>
                <w:rStyle w:val="DefaultParagraphFont"/>
                <w:b w:val="0"/>
              </w:rPr>
            </w:pPr>
          </w:p>
        </w:tc>
        <w:tc>
          <w:tcPr>
            <w:tcW w:w="2880" w:type="dxa"/>
            <w:shd w:val="clear" w:color="auto" w:fill="auto"/>
          </w:tcPr>
          <w:p>
            <w:pPr>
              <w:pStyle w:val="BodyText0"/>
              <w:keepNext/>
              <w:spacing w:after="280" w:afterAutospacing="1"/>
              <w:rPr>
                <w:rStyle w:val="DefaultParagraphFont"/>
                <w:b w:val="0"/>
              </w:rPr>
            </w:pPr>
            <w:r>
              <w:rPr>
                <w:rStyle w:val="DefaultParagraphFont"/>
                <w:b w:val="0"/>
                <w:sz w:val="24"/>
                <w:szCs w:val="24"/>
                <w:lang w:val="en-US" w:eastAsia="en-US" w:bidi="ar-SA"/>
              </w:rPr>
              <w:t>(23) Projects that receive less than $5,000,000 of Federal funds</w:t>
            </w:r>
            <w:r>
              <w:rPr>
                <w:rStyle w:val="DefaultParagraphFont"/>
                <w:b/>
                <w:sz w:val="24"/>
                <w:szCs w:val="24"/>
                <w:u w:val="single"/>
                <w:lang w:val="en-US" w:eastAsia="en-US" w:bidi="ar-SA"/>
              </w:rPr>
              <w:t xml:space="preserve"> or</w:t>
            </w:r>
            <w:r>
              <w:rPr>
                <w:rStyle w:val="DefaultParagraphFont"/>
                <w:b w:val="0"/>
                <w:sz w:val="24"/>
                <w:szCs w:val="24"/>
                <w:lang w:val="en-US" w:eastAsia="en-US" w:bidi="ar-SA"/>
              </w:rPr>
              <w:t xml:space="preserve"> with a total estimated cost of not more than $30,000,000 </w:t>
            </w:r>
            <w:r>
              <w:rPr>
                <w:rStyle w:val="DefaultParagraphFont"/>
                <w:b/>
                <w:sz w:val="24"/>
                <w:szCs w:val="24"/>
                <w:u w:val="single"/>
                <w:lang w:val="en-US" w:eastAsia="en-US" w:bidi="ar-SA"/>
              </w:rPr>
              <w:t xml:space="preserve">and </w:t>
            </w:r>
            <w:r>
              <w:rPr>
                <w:rStyle w:val="DefaultParagraphFont"/>
                <w:b w:val="0"/>
                <w:sz w:val="24"/>
                <w:szCs w:val="24"/>
                <w:lang w:val="en-US" w:eastAsia="en-US" w:bidi="ar-SA"/>
              </w:rPr>
              <w:t>with Federal funds that comprise less than 15 percent of the total estimated project cost.</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0"/>
        <w:keepNext/>
        <w:rPr>
          <w:rStyle w:val="DefaultParagraphFont"/>
          <w:rFonts w:ascii="Calibri" w:eastAsia="Calibri" w:hAnsi="Calibri" w:cs="Calibri"/>
        </w:rPr>
      </w:pPr>
      <w:bookmarkStart w:id="2" w:name="_Toc256000001"/>
      <w:r>
        <w:rPr>
          <w:rStyle w:val="DefaultParagraphFont"/>
          <w:rFonts w:ascii="Calibri" w:eastAsia="Calibri" w:hAnsi="Calibri" w:cs="Calibri"/>
        </w:rPr>
        <w:t xml:space="preserve">Environmental Commitments, </w:t>
      </w:r>
      <w:bookmarkEnd w:id="2"/>
    </w:p>
    <w:p>
      <w:pPr>
        <w:pStyle w:val="BodyText0"/>
        <w:keepNext/>
        <w:rPr>
          <w:rStyle w:val="DefaultParagraphFont"/>
          <w:rFonts w:ascii="Calibri" w:eastAsia="Calibri" w:hAnsi="Calibri" w:cs="Calibri"/>
        </w:rPr>
      </w:pP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0"/>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0"/>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0"/>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0"/>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0"/>
        <w:keepNext/>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No work (temporary or permanent) shall be performed below the Ordinary High Water Mark (Elevation 612.11) of the Ottawa River.  Any work below the OHWM is a violation of the Federal Clean Water Act of 1977.   </w:t>
      </w:r>
    </w:p>
    <w:p>
      <w:pPr>
        <w:pStyle w:val="Heading11"/>
        <w:rPr>
          <w:rStyle w:val="DefaultParagraphFont"/>
          <w:rFonts w:ascii="Calibri" w:eastAsia="Calibri" w:hAnsi="Calibri" w:cs="Calibri"/>
        </w:rPr>
      </w:pPr>
      <w:bookmarkStart w:id="3" w:name="_Toc256000002"/>
      <w:r>
        <w:rPr>
          <w:rStyle w:val="DefaultParagraphFont"/>
          <w:rFonts w:ascii="Calibri" w:eastAsia="Calibri" w:hAnsi="Calibri" w:cs="Calibri"/>
        </w:rPr>
        <w:t>Environmental Commitments</w:t>
      </w:r>
      <w:bookmarkEnd w:id="3"/>
    </w:p>
    <w:p>
      <w:pPr>
        <w:pStyle w:val="Heading31"/>
        <w:keepNext/>
        <w:rPr>
          <w:rStyle w:val="DefaultParagraphFont"/>
          <w:rFonts w:ascii="Calibri" w:eastAsia="Calibri" w:hAnsi="Calibri" w:cs="Calibri"/>
        </w:rPr>
      </w:pPr>
      <w:bookmarkStart w:id="4" w:name="_Toc256000003"/>
      <w:r>
        <w:rPr>
          <w:rStyle w:val="DefaultParagraphFont"/>
          <w:rFonts w:ascii="Calibri" w:eastAsia="Calibri" w:hAnsi="Calibri" w:cs="Calibri"/>
        </w:rPr>
        <w:t>C1</w:t>
      </w:r>
      <w:bookmarkEnd w:id="4"/>
    </w:p>
    <w:p>
      <w:pPr>
        <w:pStyle w:val="BodyText1"/>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1. The contractor shall perform all work within the existing right of way. </w:t>
      </w:r>
    </w:p>
    <w:p>
      <w:pPr>
        <w:pStyle w:val="BodyText1"/>
        <w:keepNext/>
        <w:rPr>
          <w:rStyle w:val="DefaultParagraphFont"/>
          <w:rFonts w:ascii="Calibri" w:eastAsia="Calibri" w:hAnsi="Calibri" w:cs="Calibri"/>
        </w:rPr>
      </w:pPr>
      <w:r>
        <w:rPr>
          <w:rStyle w:val="DefaultParagraphFont"/>
          <w:rFonts w:ascii="Calibri" w:eastAsia="Calibri" w:hAnsi="Calibri" w:cs="Calibri"/>
        </w:rPr>
        <w:t>2.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BodyText1"/>
        <w:keepNext/>
        <w:rPr>
          <w:rStyle w:val="DefaultParagraphFont"/>
          <w:rFonts w:ascii="Calibri" w:eastAsia="Calibri" w:hAnsi="Calibri" w:cs="Calibri"/>
        </w:rPr>
      </w:pPr>
      <w:r>
        <w:rPr>
          <w:rStyle w:val="DefaultParagraphFont"/>
          <w:rFonts w:ascii="Calibri" w:eastAsia="Calibri" w:hAnsi="Calibri" w:cs="Calibri"/>
        </w:rPr>
        <w:t>3. Adequate erosion and sediment controls shall be implemented and maintained throughout construction by the contractor and ODOT, as required.</w:t>
      </w:r>
    </w:p>
    <w:p>
      <w:pPr>
        <w:pStyle w:val="BodyText1"/>
        <w:keepNext/>
        <w:rPr>
          <w:rStyle w:val="DefaultParagraphFont"/>
          <w:rFonts w:ascii="Calibri" w:eastAsia="Calibri" w:hAnsi="Calibri" w:cs="Calibri"/>
        </w:rPr>
      </w:pPr>
      <w:r>
        <w:rPr>
          <w:rStyle w:val="DefaultParagraphFont"/>
          <w:rFonts w:ascii="Calibri" w:eastAsia="Calibri" w:hAnsi="Calibri" w:cs="Calibri"/>
        </w:rPr>
        <w:t>4. The contractor shall take all precautions to prevent any and all material from going off the edge of bridge deck(s) and edge of culvert(s)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No work or staging is permitted below the top of bank of any stream and/or within a wetland.</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5. Due to the known presence of Ohio threatened Blandings Turtle within the project area, if any turtle is found within the project work limits, crews shall wait until the species has moved off of the project site unharmed before work can continue.    </w:t>
      </w:r>
    </w:p>
    <w:p>
      <w:pPr>
        <w:pStyle w:val="BodyText1"/>
        <w:keepNext/>
        <w:rPr>
          <w:rStyle w:val="DefaultParagraphFont"/>
          <w:rFonts w:ascii="Calibri" w:eastAsia="Calibri" w:hAnsi="Calibri" w:cs="Calibri"/>
        </w:rPr>
      </w:pPr>
      <w:r>
        <w:rPr>
          <w:rStyle w:val="DefaultParagraphFont"/>
          <w:rFonts w:ascii="Calibri" w:eastAsia="Calibri" w:hAnsi="Calibri" w:cs="Calibri"/>
        </w:rPr>
        <w:t xml:space="preserve">6.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1"/>
        <w:keepNext/>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 xml:space="preserve">7. No work (temporary or permanent) shall be performed below the Ordinary High Water Mark (Elevation 612.11) of the Ottawa River.  Any work below the OHWM is a violation of the Federal Clean Water Act of 1977.   </w:t>
      </w:r>
    </w:p>
    <w:p>
      <w:pPr>
        <w:pStyle w:val="Heading12"/>
        <w:keepNext/>
        <w:rPr>
          <w:rStyle w:val="DefaultParagraphFont"/>
          <w:rFonts w:ascii="Calibri" w:eastAsia="Calibri" w:hAnsi="Calibri" w:cs="Calibri"/>
        </w:rPr>
      </w:pPr>
      <w:bookmarkStart w:id="5" w:name="_Toc256000004"/>
      <w:r>
        <w:rPr>
          <w:rStyle w:val="DefaultParagraphFont"/>
          <w:rFonts w:ascii="Calibri" w:eastAsia="Calibri" w:hAnsi="Calibri" w:cs="Calibri"/>
        </w:rPr>
        <w:t>Preparers  &amp; Approvals</w:t>
      </w:r>
      <w:bookmarkEnd w:id="5"/>
    </w:p>
    <w:p>
      <w:pPr>
        <w:pStyle w:val="Heading32"/>
        <w:keepNext/>
        <w:rPr>
          <w:rStyle w:val="DefaultParagraphFont"/>
          <w:rFonts w:ascii="Calibri" w:eastAsia="Calibri" w:hAnsi="Calibri" w:cs="Calibri"/>
        </w:rPr>
      </w:pPr>
      <w:bookmarkStart w:id="6" w:name="_Toc256000005"/>
      <w:r>
        <w:rPr>
          <w:rStyle w:val="DefaultParagraphFont"/>
          <w:rFonts w:ascii="Calibri" w:eastAsia="Calibri" w:hAnsi="Calibri" w:cs="Calibri"/>
        </w:rPr>
        <w:t>Form Preparer(s)</w:t>
      </w:r>
      <w:bookmarkEnd w:id="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
              <w:keepNext/>
              <w:spacing w:after="120"/>
              <w:ind w:left="360"/>
              <w:rPr>
                <w:rStyle w:val="DefaultParagraphFont"/>
                <w:b w:val="0"/>
              </w:rPr>
            </w:pP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2"/>
        <w:keepNext/>
        <w:rPr>
          <w:rStyle w:val="DefaultParagraphFont"/>
          <w:rFonts w:ascii="Calibri" w:eastAsia="Calibri" w:hAnsi="Calibri" w:cs="Calibri"/>
        </w:rPr>
      </w:pPr>
      <w:bookmarkStart w:id="7" w:name="_Toc256000006"/>
      <w:r>
        <w:rPr>
          <w:rStyle w:val="DefaultParagraphFont"/>
          <w:rFonts w:ascii="Calibri" w:eastAsia="Calibri" w:hAnsi="Calibri" w:cs="Calibri"/>
        </w:rPr>
        <w:t>Approvals &amp; Electronic Signatures</w:t>
      </w:r>
      <w:bookmarkEnd w:id="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6, 2016</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Phoenix Golnick ENV SPEC 2</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20"/>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December 6, 2016</w:t>
            </w:r>
          </w:p>
        </w:tc>
      </w:tr>
    </w:tbl>
    <w:p>
      <w:pPr>
        <w:pStyle w:val="BodyText20"/>
        <w:keepNext/>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keepNext/>
        <w:rPr>
          <w:rStyle w:val="DefaultParagraphFont"/>
          <w:rFonts w:ascii="Calibri" w:eastAsia="Calibri" w:hAnsi="Calibri" w:cs="Calibri"/>
        </w:rPr>
      </w:pPr>
      <w:bookmarkStart w:id="8" w:name="_Toc256000007"/>
      <w:r>
        <w:rPr>
          <w:rStyle w:val="DefaultParagraphFont"/>
          <w:rFonts w:ascii="Calibri" w:eastAsia="Calibri" w:hAnsi="Calibri" w:cs="Calibri"/>
        </w:rPr>
        <w:t>Appendix</w:t>
      </w:r>
      <w:bookmarkEnd w:id="8"/>
    </w:p>
    <w:p>
      <w:pPr>
        <w:pStyle w:val="Heading33"/>
        <w:keepNext/>
        <w:rPr>
          <w:rStyle w:val="DefaultParagraphFont"/>
          <w:rFonts w:ascii="Calibri" w:eastAsia="Calibri" w:hAnsi="Calibri" w:cs="Calibri"/>
        </w:rPr>
      </w:pPr>
      <w:bookmarkStart w:id="9" w:name="_Toc256000008"/>
      <w:r>
        <w:rPr>
          <w:rStyle w:val="DefaultParagraphFont"/>
          <w:rFonts w:ascii="Calibri" w:eastAsia="Calibri" w:hAnsi="Calibri" w:cs="Calibri"/>
        </w:rPr>
        <w:t>Uploaded Files by Report Section</w:t>
      </w:r>
      <w:bookmarkEnd w:id="9"/>
    </w:p>
    <w:p>
      <w:pPr>
        <w:pStyle w:val="Heading33"/>
        <w:keepNext/>
        <w:rPr>
          <w:rStyle w:val="DefaultParagraphFont"/>
          <w:rFonts w:ascii="Calibri" w:eastAsia="Calibri" w:hAnsi="Calibri" w:cs="Calibri"/>
        </w:rPr>
      </w:pPr>
      <w:bookmarkStart w:id="10" w:name="_Toc256000009"/>
      <w:r>
        <w:rPr>
          <w:rStyle w:val="DefaultParagraphFont"/>
          <w:rFonts w:ascii="Calibri" w:eastAsia="Calibri" w:hAnsi="Calibri" w:cs="Calibri"/>
        </w:rPr>
        <w:t>General</w:t>
      </w:r>
      <w:bookmarkEnd w:id="10"/>
    </w:p>
    <w:p>
      <w:pPr>
        <w:pStyle w:val="BodyTextIndent20"/>
        <w:keepNext/>
        <w:rPr>
          <w:rStyle w:val="DefaultParagraphFont"/>
          <w:rFonts w:ascii="Calibri" w:eastAsia="Calibri" w:hAnsi="Calibri" w:cs="Calibri"/>
        </w:rPr>
      </w:pPr>
      <w:r>
        <w:rPr>
          <w:rStyle w:val="DefaultParagraphFont"/>
          <w:rFonts w:ascii="Calibri" w:eastAsia="Calibri" w:hAnsi="Calibri" w:cs="Calibri"/>
        </w:rPr>
        <w:t>Aerial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USGS Quadrangle Topographical Map.bmp</w:t>
      </w:r>
    </w:p>
    <w:p>
      <w:pPr>
        <w:pStyle w:val="Heading33"/>
        <w:keepNext/>
        <w:rPr>
          <w:rStyle w:val="DefaultParagraphFont"/>
          <w:rFonts w:ascii="Calibri" w:eastAsia="Calibri" w:hAnsi="Calibri" w:cs="Calibri"/>
        </w:rPr>
      </w:pPr>
      <w:bookmarkStart w:id="11" w:name="_Toc256000010"/>
      <w:r>
        <w:rPr>
          <w:rStyle w:val="DefaultParagraphFont"/>
          <w:rFonts w:ascii="Calibri" w:eastAsia="Calibri" w:hAnsi="Calibri" w:cs="Calibri"/>
        </w:rPr>
        <w:t>ESA</w:t>
      </w:r>
      <w:bookmarkEnd w:id="11"/>
    </w:p>
    <w:p>
      <w:pPr>
        <w:pStyle w:val="BodyTextIndent20"/>
        <w:keepNext/>
        <w:rPr>
          <w:rStyle w:val="DefaultParagraphFont"/>
          <w:rFonts w:ascii="Calibri" w:eastAsia="Calibri" w:hAnsi="Calibri" w:cs="Calibri"/>
        </w:rPr>
      </w:pPr>
      <w:r>
        <w:rPr>
          <w:rStyle w:val="DefaultParagraphFont"/>
          <w:rFonts w:ascii="Calibri" w:eastAsia="Calibri" w:hAnsi="Calibri" w:cs="Calibri"/>
        </w:rPr>
        <w:t>NESHAP Asbestos Report for LUC-23-1165R.pdf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Demo-Reno Form for LUC-23-1165R.doc</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EPA DemoReno Form for LUC-23-1165R.doc</w:t>
      </w:r>
    </w:p>
    <w:p>
      <w:pPr>
        <w:pStyle w:val="Heading33"/>
        <w:keepNext/>
        <w:rPr>
          <w:rStyle w:val="DefaultParagraphFont"/>
          <w:rFonts w:ascii="Calibri" w:eastAsia="Calibri" w:hAnsi="Calibri" w:cs="Calibri"/>
        </w:rPr>
      </w:pPr>
      <w:bookmarkStart w:id="12" w:name="_Toc256000011"/>
      <w:r>
        <w:rPr>
          <w:rStyle w:val="DefaultParagraphFont"/>
          <w:rFonts w:ascii="Calibri" w:eastAsia="Calibri" w:hAnsi="Calibri" w:cs="Calibri"/>
        </w:rPr>
        <w:t>Cultural Resources</w:t>
      </w:r>
      <w:bookmarkEnd w:id="12"/>
    </w:p>
    <w:p>
      <w:pPr>
        <w:pStyle w:val="BodyTextIndent20"/>
        <w:keepNext/>
        <w:rPr>
          <w:rStyle w:val="DefaultParagraphFont"/>
          <w:rFonts w:ascii="Calibri" w:eastAsia="Calibri" w:hAnsi="Calibri" w:cs="Calibri"/>
        </w:rPr>
      </w:pPr>
      <w:r>
        <w:rPr>
          <w:rStyle w:val="DefaultParagraphFont"/>
          <w:rFonts w:ascii="Calibri" w:eastAsia="Calibri" w:hAnsi="Calibri" w:cs="Calibri"/>
        </w:rPr>
        <w:t>Minimum Potential to Cause Effects - A.pdf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Buckeye Assets Mapping.PNG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Ecological</w:t>
      </w:r>
      <w:bookmarkEnd w:id="13"/>
    </w:p>
    <w:p>
      <w:pPr>
        <w:pStyle w:val="BodyTextIndent20"/>
        <w:keepNext/>
        <w:rPr>
          <w:rStyle w:val="DefaultParagraphFont"/>
          <w:rFonts w:ascii="Calibri" w:eastAsia="Calibri" w:hAnsi="Calibri" w:cs="Calibri"/>
        </w:rPr>
      </w:pPr>
      <w:r>
        <w:rPr>
          <w:rStyle w:val="DefaultParagraphFont"/>
          <w:rFonts w:ascii="Calibri" w:eastAsia="Calibri" w:hAnsi="Calibri" w:cs="Calibri"/>
        </w:rPr>
        <w:t>Ecological Review Form - Documentation for an Ecologically Exempt Project .pdf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Eco Map.jpg</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Other Resources</w:t>
      </w:r>
      <w:bookmarkEnd w:id="14"/>
    </w:p>
    <w:p>
      <w:pPr>
        <w:pStyle w:val="BodyTextIndent20"/>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Environmental Justice</w:t>
      </w:r>
      <w:bookmarkEnd w:id="15"/>
    </w:p>
    <w:p>
      <w:pPr>
        <w:pStyle w:val="BodyTextIndent20"/>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Memo to File.pdf</w:t>
      </w:r>
    </w:p>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Permits</w:t>
      </w:r>
      <w:bookmarkEnd w:id="16"/>
    </w:p>
    <w:p>
      <w:pPr>
        <w:pStyle w:val="BodyTextIndent20"/>
        <w:keepNext/>
        <w:rPr>
          <w:rStyle w:val="DefaultParagraphFont"/>
          <w:rFonts w:ascii="Calibri" w:eastAsia="Calibri" w:hAnsi="Calibri" w:cs="Calibri"/>
        </w:rPr>
      </w:pPr>
      <w:r>
        <w:rPr>
          <w:rStyle w:val="DefaultParagraphFont"/>
          <w:rFonts w:ascii="Calibri" w:eastAsia="Calibri" w:hAnsi="Calibri" w:cs="Calibri"/>
        </w:rPr>
        <w:t>FEMA FIRM.png</w:t>
      </w:r>
    </w:p>
    <w:p>
      <w:pPr>
        <w:pStyle w:val="BodyTextIndent20"/>
        <w:keepNext/>
        <w:rPr>
          <w:rStyle w:val="DefaultParagraphFont"/>
          <w:rFonts w:ascii="Calibri" w:eastAsia="Calibri" w:hAnsi="Calibri" w:cs="Calibri"/>
        </w:rPr>
      </w:pPr>
      <w:r>
        <w:rPr>
          <w:rStyle w:val="DefaultParagraphFont"/>
          <w:rFonts w:ascii="Calibri" w:eastAsia="Calibri" w:hAnsi="Calibri" w:cs="Calibri"/>
        </w:rPr>
        <w:t>Floodplain Impacts.pdf</w:t>
      </w:r>
    </w:p>
    <w:sectPr>
      <w:headerReference w:type="default" r:id="rId14"/>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12</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12</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100166 LUC US 23 11.65 Bridge Rehab</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100166 LUC US 23 11.65 Bridge Rehab</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100166 LUC US 23 11.65 Bridge Rehab</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100166 LUC US 23 11.65 Bridge Rehab</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C1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100166 LUC US 23 11.65 Bridge Rehab</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December 6, 2016</w:t>
          </w:r>
        </w:p>
      </w:tc>
    </w:tr>
  </w:tbl>
  <w:p>
    <w:pPr>
      <w:pStyle w:val="Normal4"/>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Indent0">
    <w:name w:val="Body Text Indent_0"/>
    <w:basedOn w:val="Normal1"/>
    <w:rsid w:val="00805BCE"/>
    <w:pPr>
      <w:spacing w:after="120"/>
      <w:ind w:left="360"/>
    </w:pPr>
  </w:style>
  <w:style w:type="paragraph" w:customStyle="1" w:styleId="BodyText0">
    <w:name w:val="Body Text_0"/>
    <w:basedOn w:val="Normal1"/>
    <w:rsid w:val="00805BCE"/>
    <w:pPr>
      <w:spacing w:after="120"/>
    </w:pPr>
  </w:style>
  <w:style w:type="paragraph" w:customStyle="1" w:styleId="Heading30">
    <w:name w:val="Heading 3_0"/>
    <w:basedOn w:val="Normal1"/>
    <w:next w:val="Normal1"/>
    <w:qFormat/>
    <w:rsid w:val="00EF7B96"/>
    <w:pPr>
      <w:keepNext/>
      <w:spacing w:before="240" w:after="60"/>
      <w:outlineLvl w:val="2"/>
    </w:pPr>
    <w:rPr>
      <w:rFonts w:ascii="Arial" w:hAnsi="Arial" w:cs="Arial"/>
      <w:b/>
      <w:bCs/>
      <w:sz w:val="26"/>
      <w:szCs w:val="26"/>
    </w:r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1">
    <w:name w:val="Heading 3_1"/>
    <w:basedOn w:val="Normal2"/>
    <w:next w:val="Normal2"/>
    <w:qFormat/>
    <w:rsid w:val="00EF7B96"/>
    <w:pPr>
      <w:keepNext/>
      <w:spacing w:before="240" w:after="60"/>
      <w:outlineLvl w:val="2"/>
    </w:pPr>
    <w:rPr>
      <w:rFonts w:ascii="Arial" w:hAnsi="Arial" w:cs="Arial"/>
      <w:b/>
      <w:bCs/>
      <w:sz w:val="26"/>
      <w:szCs w:val="26"/>
    </w:r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2">
    <w:name w:val="Heading 3_2"/>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3">
    <w:name w:val="Heading 3_3"/>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8" Type="http://schemas.openxmlformats.org/officeDocument/2006/relationships/header" Target="header3.xml"/><Relationship Id="rId18" Type="http://schemas.openxmlformats.org/officeDocument/2006/relationships/customXml" Target="../customXml/item1.xml"/><Relationship Id="rId3" Type="http://schemas.openxmlformats.org/officeDocument/2006/relationships/fontTable" Target="fontTable.xml"/><Relationship Id="rId12" Type="http://schemas.openxmlformats.org/officeDocument/2006/relationships/header" Target="header6.xml"/><Relationship Id="rId17" Type="http://schemas.openxmlformats.org/officeDocument/2006/relationships/styles" Target="styles.xml"/><Relationship Id="rId7" Type="http://schemas.openxmlformats.org/officeDocument/2006/relationships/footer" Target="footer2.xml"/><Relationship Id="rId16" Type="http://schemas.openxmlformats.org/officeDocument/2006/relationships/numbering" Target="numbering.xml"/><Relationship Id="rId2" Type="http://schemas.openxmlformats.org/officeDocument/2006/relationships/webSettings" Target="webSettings.xml"/><Relationship Id="rId20" Type="http://schemas.openxmlformats.org/officeDocument/2006/relationships/customXml" Target="../customXml/item3.xml"/><Relationship Id="rId1" Type="http://schemas.openxmlformats.org/officeDocument/2006/relationships/settings" Target="settings.xml"/><Relationship Id="rId11" Type="http://schemas.openxmlformats.org/officeDocument/2006/relationships/header" Target="header5.xml"/><Relationship Id="rId6" Type="http://schemas.openxmlformats.org/officeDocument/2006/relationships/footer" Target="footer1.xml"/><Relationship Id="rId15"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customXml" Target="../customXml/item2.xml"/><Relationship Id="rId14" Type="http://schemas.openxmlformats.org/officeDocument/2006/relationships/header" Target="header8.xml"/><Relationship Id="rId4" Type="http://schemas.openxmlformats.org/officeDocument/2006/relationships/header" Target="header1.xml"/><Relationship Id="rId9" Type="http://schemas.openxmlformats.org/officeDocument/2006/relationships/footer" Target="foot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2016-12-06T05:00:00+00:00</DateCompleted>
    <Internal_x0020_Only xmlns="df873bd8-8520-468a-8ecb-74db49e47217">No</Internal_x0020_Only>
    <FID xmlns="df873bd8-8520-468a-8ecb-74db49e47217">5742</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71276D99-CB9C-4F2C-A160-E78161E18EE3}"/>
</file>

<file path=customXml/itemProps2.xml><?xml version="1.0" encoding="utf-8"?>
<ds:datastoreItem xmlns:ds="http://schemas.openxmlformats.org/officeDocument/2006/customXml" ds:itemID="{A98E6629-058C-43A4-AC65-8EFC7822F4B6}"/>
</file>

<file path=customXml/itemProps3.xml><?xml version="1.0" encoding="utf-8"?>
<ds:datastoreItem xmlns:ds="http://schemas.openxmlformats.org/officeDocument/2006/customXml" ds:itemID="{4D1F97F3-CD0F-473C-8A0C-3F3E9CD2B35A}"/>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