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MAH IR 0680 07.31 PID 87273</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February 23,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12</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87273</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4-MAINTENANCE</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r>
        <w:rPr>
          <w:rStyle w:val="DefaultParagraphFont"/>
          <w:rFonts w:ascii="Calibri" w:eastAsia="Calibri" w:hAnsi="Calibri" w:cs="Calibri"/>
          <w:color w:val="000000"/>
        </w:rPr>
        <w:t>The Ohio Department of Transportation (ODOT) plans to improve Interstate Route (IR) 680 and State Route (SR) 11 in the city of Youngstown and Beaver, Canfield and Boardman Townships, Mahoning County, Ohio.  The project proposes to remove deteriorated partial-depth asphalt concrete pavement and replace it with an asphalt concrete surface course at various deteriorated pavement areas along 4.69 miles of IR 680 from Straight Line Mile (SLM) 7.31 to SLM 12.00.  Additionally, minor maintenance is proposed on</w:t>
      </w:r>
      <w:r>
        <w:rPr>
          <w:rStyle w:val="DefaultParagraphFont"/>
          <w:rFonts w:ascii="Calibri" w:eastAsia="Calibri" w:hAnsi="Calibri" w:cs="Calibri"/>
          <w:color w:val="FF0000"/>
        </w:rPr>
        <w:t> </w:t>
      </w:r>
      <w:r>
        <w:rPr>
          <w:rStyle w:val="DefaultParagraphFont"/>
          <w:rFonts w:ascii="Calibri" w:eastAsia="Calibri" w:hAnsi="Calibri" w:cs="Calibri"/>
          <w:color w:val="000000"/>
        </w:rPr>
        <w:t>thirty (30) structures,</w:t>
      </w:r>
      <w:r>
        <w:rPr>
          <w:rStyle w:val="DefaultParagraphFont"/>
          <w:rFonts w:ascii="Calibri" w:eastAsia="Calibri" w:hAnsi="Calibri" w:cs="Calibri"/>
          <w:color w:val="FF0000"/>
        </w:rPr>
        <w:t xml:space="preserve"> </w:t>
      </w:r>
      <w:r>
        <w:rPr>
          <w:rStyle w:val="DefaultParagraphFont"/>
          <w:rFonts w:ascii="Calibri" w:eastAsia="Calibri" w:hAnsi="Calibri" w:cs="Calibri"/>
          <w:color w:val="000000"/>
        </w:rPr>
        <w:t>Structure No. MAH-11-1.94L/Structure File Number (SFN) 5000270, Structure No. MAH-11-1.91R/SFN 5000300, Structure No. MAH-11-5.07L/SFN 5000394, Structure No. MAH-11-5.07R/SFN 5000424,</w:t>
      </w:r>
      <w:r>
        <w:rPr>
          <w:rStyle w:val="DefaultParagraphFont"/>
          <w:rFonts w:ascii="Calibri" w:eastAsia="Calibri" w:hAnsi="Calibri" w:cs="Calibri"/>
          <w:color w:val="FF0000"/>
        </w:rPr>
        <w:t xml:space="preserve"> </w:t>
      </w:r>
      <w:r>
        <w:rPr>
          <w:rStyle w:val="DefaultParagraphFont"/>
          <w:rFonts w:ascii="Calibri" w:eastAsia="Calibri" w:hAnsi="Calibri" w:cs="Calibri"/>
          <w:color w:val="000000"/>
        </w:rPr>
        <w:t>Structure No. MAH-11-6.09/SFN 5000459, Structure No. MAH-11-8.02L/SFN 5000513, Structure No. MAH-11-8.02R/SFN 5000548, Structure No. MAH-680-2.83/SFN 5006511, Structure No. MAH-680-3.86/SFN 5006783, Structure No. MAH-680-4.15/SFN 5006813, Structure No. MAH-680-4.32/SFN 5006848, Structure No. MAH-680-4.89/SFN 5006902, Structure No. MAH-680-5.94/SFN 5007089, Structure No. MAH-680-6.04/SFN 5001986, Structure No. MAH-680-6.28/SFN 5007119, Structure No. MAH-680-6.31/SFN 5007143, Structure No. MAH-680-6.37/SFN 5007178, Structure No. MAH-680-6.87/SFN 5007232, Structure No. MAH-680-6.93/SFN 5007267, Structure No. MAH-680-7.05/SFN 5003350, Structure No. MAH-680-7.24/SFN 5007291,</w:t>
      </w:r>
      <w:r>
        <w:rPr>
          <w:rStyle w:val="DefaultParagraphFont"/>
          <w:rFonts w:ascii="Calibri" w:eastAsia="Calibri" w:hAnsi="Calibri" w:cs="Calibri"/>
          <w:color w:val="FF0000"/>
        </w:rPr>
        <w:t xml:space="preserve"> </w:t>
      </w:r>
      <w:r>
        <w:rPr>
          <w:rStyle w:val="DefaultParagraphFont"/>
          <w:rFonts w:ascii="Calibri" w:eastAsia="Calibri" w:hAnsi="Calibri" w:cs="Calibri"/>
          <w:color w:val="000000"/>
        </w:rPr>
        <w:t>Structure No. MAH-680-7.91E/SFN 5007348, Structure No. MAH-680-7.94/SFN 5007380, Structure No. MAH-680-8.17/SFN 5007429, Structure No. MAH-680-8.37/SFN 5007534, Structure No. MAH-680-9.21/SFN 5007577, Structure No. MAH-680-9.90/SFN 5007615, Structure No. MAH-680-10.73L/SFN 5007712,</w:t>
      </w:r>
      <w:r>
        <w:rPr>
          <w:rStyle w:val="DefaultParagraphFont"/>
          <w:rFonts w:ascii="Calibri" w:eastAsia="Calibri" w:hAnsi="Calibri" w:cs="Calibri"/>
          <w:color w:val="FF0000"/>
        </w:rPr>
        <w:t xml:space="preserve"> </w:t>
      </w:r>
      <w:r>
        <w:rPr>
          <w:rStyle w:val="DefaultParagraphFont"/>
          <w:rFonts w:ascii="Calibri" w:eastAsia="Calibri" w:hAnsi="Calibri" w:cs="Calibri"/>
          <w:color w:val="000000"/>
        </w:rPr>
        <w:t>Structure No. MAH-680-10.73R/SFN 5007720 and Structure No. MAH-680-13.22/SFN 5007763,</w:t>
      </w:r>
      <w:r>
        <w:rPr>
          <w:rStyle w:val="DefaultParagraphFont"/>
          <w:rFonts w:ascii="Calibri" w:eastAsia="Calibri" w:hAnsi="Calibri" w:cs="Calibri"/>
          <w:color w:val="FF0000"/>
        </w:rPr>
        <w:t> </w:t>
      </w:r>
      <w:r>
        <w:rPr>
          <w:rStyle w:val="DefaultParagraphFont"/>
          <w:rFonts w:ascii="Calibri" w:eastAsia="Calibri" w:hAnsi="Calibri" w:cs="Calibri"/>
          <w:color w:val="000000"/>
        </w:rPr>
        <w:t>along IR 680 and SR 11 as described in the Structure Work Breakdown.pdf and Stage 3 Design.pdf in the General section of the Project File.</w:t>
      </w:r>
      <w:r>
        <w:rPr>
          <w:rStyle w:val="DefaultParagraphFont"/>
          <w:rFonts w:ascii="Calibri" w:eastAsia="Calibri" w:hAnsi="Calibri" w:cs="Calibri"/>
          <w:color w:val="FF0000"/>
        </w:rPr>
        <w:t xml:space="preserve">  </w:t>
      </w:r>
      <w:r>
        <w:rPr>
          <w:rStyle w:val="DefaultParagraphFont"/>
          <w:rFonts w:ascii="Calibri" w:eastAsia="Calibri" w:hAnsi="Calibri" w:cs="Calibri"/>
        </w:rPr>
        <w:br/>
      </w:r>
      <w:r>
        <w:rPr>
          <w:rStyle w:val="DefaultParagraphFont"/>
          <w:rFonts w:ascii="Calibri" w:eastAsia="Calibri" w:hAnsi="Calibri" w:cs="Calibri"/>
        </w:rPr>
        <w:t xml:space="preserve">The project will be constructed within the existing highway limited access rights-of-way.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will not impact any environmentally sensitive resources within the project study areas.</w:t>
      </w:r>
    </w:p>
    <w:p>
      <w:pPr>
        <w:pStyle w:val="BodyTextIndent0"/>
        <w:keepNext/>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  </w:t>
      </w:r>
      <w:r>
        <w:rPr>
          <w:rStyle w:val="DefaultParagraphFont"/>
          <w:rFonts w:ascii="Calibri" w:eastAsia="Calibri" w:hAnsi="Calibri" w:cs="Calibri"/>
        </w:rPr>
        <w:br/>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01/30/2017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ENDANGERED SPECIES HABITAT-INDIANA BAT/NORTHERN LONG-EARED BAT:  </w:t>
      </w:r>
    </w:p>
    <w:p>
      <w:pPr>
        <w:pStyle w:val="BodyText0"/>
        <w:keepNext/>
        <w:rPr>
          <w:rStyle w:val="DefaultParagraphFont"/>
          <w:rFonts w:ascii="Calibri" w:eastAsia="Calibri" w:hAnsi="Calibri" w:cs="Calibri"/>
        </w:rPr>
      </w:pPr>
      <w:r>
        <w:rPr>
          <w:rStyle w:val="DefaultParagraphFont"/>
          <w:rFonts w:ascii="Calibri" w:eastAsia="Calibri" w:hAnsi="Calibri" w:cs="Calibri"/>
        </w:rPr>
        <w:t>THE PROJECT IS LOCATED WITHIN THE KNOWN HABITAT RANGES OF THE FEDERALLY LISTED AND PROTECTED INDIANA BAT AND NORTHERN LONG-EARED BAT.  UNDER NO CIRCUMSTANCES SHALL THE CONTRACTOR CUT/REMOVE ANY TREES PRIOR TO OR DURING PROJECT CONSTRUCTION.  THIS REQUIREMENT IS NECESSARY TO AVOID AND MINIMIZE IMPACTS TO THESE SPECIES AS REQUIRED BY THE ENDANGERED SPECIES ACT.  FOR THE PURPOSES OF THIS NOTE, A TREE IS DEFINED AS A LIVE, DYING, OR DEAD WOODY PLANT, WITH A TRUNK THREE (3) INCHES OR GREATER IN DIAMETER AT A HEIGHT OF 4.5 FEET ABOVE THE GROUND SURFACE, AND WITH A MINIMUM HEIGHT OF 13 FEET.</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BEST MANAGEMENT PRACTICES/SOIL EROSION AND SEDIMENTATION CONTROL:  </w:t>
      </w:r>
    </w:p>
    <w:p>
      <w:pPr>
        <w:pStyle w:val="BodyText0"/>
        <w:keepNext/>
        <w:rPr>
          <w:rStyle w:val="DefaultParagraphFont"/>
          <w:rFonts w:ascii="Calibri" w:eastAsia="Calibri" w:hAnsi="Calibri" w:cs="Calibri"/>
        </w:rPr>
      </w:pPr>
      <w:r>
        <w:rPr>
          <w:rStyle w:val="DefaultParagraphFont"/>
          <w:rFonts w:ascii="Calibri" w:eastAsia="Calibri" w:hAnsi="Calibri" w:cs="Calibri"/>
        </w:rPr>
        <w:t>WATER COLUMN AND SEDIMENTATION IMPACTS SHALL BE KEPT TO A MINIMUM THROUGH THE USE OF BEST MANAGEMENT PRACTICES FOR SOIL EROSION AND SEDIMENTATION CONTROL. ALL SOIL EROSION CONTROL MEASURES SHALL BE IN PLACE PRIOR TO ANY EXCAVATION, GRADING OR FILLING OPERATIONS AND INSTALLATION OF PROPOSED STRUCTURES OR UTILITIES. THEY SHALL REMAIN IN PLACE UNTIL CONSTRUCTION IS COMPLETED AND THE AREA IS STABILIZED AS ACCEPTED BY THE ENGINEER. THESE SHALL COMPLY WITH ODOT'S HANDBOOK FOR SEDIMENT AND ROSION CONTROL, WHICH MAY BE FOUND AT: HTTP://WWW.DOT.STATE.OH.US/DRRC/.</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3. STREAM AVOIDANCE:</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NO EXCAVATION, GRADING OR FILLING OPERATIONS SHALL BE PERFORMED IN THE STREAMS LOCATED AT MAH-11-8.20L AND MAH-11-8.20R.  UNDER NO CIRCUMSTANCES SHALL THE CONTRACTOR STORE CONSTRUCTION EQUIPMENT AND/OR MATERIALS IN THIS STREAM.  ODOT CONSTRUCTION AND MATERIALS SPECIFICATIONS SECTION 107.10 (PROTECTION AND RESTORATION OF PROPERTY) PROHIBIT THE CONTRACTOR FROM CREATING STAGING AREAS NEAR STREAMS AND/OR WETLANDS.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THE ODOT TRAFFIC ENGINEERING MANUAL NOTES 642-58 NOTIFICATION OF TRAFFIC RESTRICTIONS AND, IF APPLICABLE, 642-8 ITEM 614, MAINTAINING TRAFFIC (NOTICE OF CLOSURE SIGN) SHALL BE INCORPORATED INTO THE PROJECT CONSTRUCTION PLAN.  </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ENDANGERED SPECIES HABITAT-INDIANA BAT/NORTHERN LONG-EARED BAT:  </w:t>
      </w:r>
    </w:p>
    <w:p>
      <w:pPr>
        <w:pStyle w:val="BodyText1"/>
        <w:keepNext/>
        <w:rPr>
          <w:rStyle w:val="DefaultParagraphFont"/>
          <w:rFonts w:ascii="Calibri" w:eastAsia="Calibri" w:hAnsi="Calibri" w:cs="Calibri"/>
        </w:rPr>
      </w:pPr>
      <w:r>
        <w:rPr>
          <w:rStyle w:val="DefaultParagraphFont"/>
          <w:rFonts w:ascii="Calibri" w:eastAsia="Calibri" w:hAnsi="Calibri" w:cs="Calibri"/>
        </w:rPr>
        <w:t>THE PROJECT IS LOCATED WITHIN THE KNOWN HABITAT RANGES OF THE FEDERALLY LISTED AND PROTECTED INDIANA BAT AND NORTHERN LONG-EARED BAT.  UNDER NO CIRCUMSTANCES SHALL THE CONTRACTOR CUT/REMOVE ANY TREES PRIOR TO OR DURING PROJECT CONSTRUCTION.  THIS REQUIREMENT IS NECESSARY TO AVOID AND MINIMIZE IMPACTS TO THESE SPECIES AS REQUIRED BY THE ENDANGERED SPECIES ACT.  FOR THE PURPOSES OF THIS NOTE, A TREE IS DEFINED AS A LIVE, DYING, OR DEAD WOODY PLANT, WITH A TRUNK THREE (3) INCHES OR GREATER IN DIAMETER AT A HEIGHT OF 4.5 FEET ABOVE THE GROUND SURFACE, AND WITH A MINIMUM HEIGHT OF 13 FEET.</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BEST MANAGEMENT PRACTICES/SOIL EROSION AND SEDIMENTATION CONTROL:  </w:t>
      </w:r>
    </w:p>
    <w:p>
      <w:pPr>
        <w:pStyle w:val="BodyText1"/>
        <w:keepNext/>
        <w:rPr>
          <w:rStyle w:val="DefaultParagraphFont"/>
          <w:rFonts w:ascii="Calibri" w:eastAsia="Calibri" w:hAnsi="Calibri" w:cs="Calibri"/>
        </w:rPr>
      </w:pPr>
      <w:r>
        <w:rPr>
          <w:rStyle w:val="DefaultParagraphFont"/>
          <w:rFonts w:ascii="Calibri" w:eastAsia="Calibri" w:hAnsi="Calibri" w:cs="Calibri"/>
        </w:rPr>
        <w:t>WATER COLUMN AND SEDIMENTATION IMPACTS SHALL BE KEPT TO A MINIMUM THROUGH THE USE OF BEST MANAGEMENT PRACTICES FOR SOIL EROSION AND SEDIMENTATION CONTROL. ALL SOIL EROSION CONTROL MEASURES SHALL BE IN PLACE PRIOR TO ANY EXCAVATION, GRADING OR FILLING OPERATIONS AND INSTALLATION OF PROPOSED STRUCTURES OR UTILITIES. THEY SHALL REMAIN IN PLACE UNTIL CONSTRUCTION IS COMPLETED AND THE AREA IS STABILIZED AS ACCEPTED BY THE ENGINEER. THESE SHALL COMPLY WITH ODOT'S HANDBOOK FOR SEDIMENT AND ROSION CONTROL, WHICH MAY BE FOUND AT: HTTP://WWW.DOT.STATE.OH.US/DRRC/.</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3. STREAM AVOIDANCE:</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NO EXCAVATION, GRADING OR FILLING OPERATIONS SHALL BE PERFORMED IN THE STREAMS LOCATED AT MAH-11-8.20L AND MAH-11-8.20R.  UNDER NO CIRCUMSTANCES SHALL THE CONTRACTOR STORE CONSTRUCTION EQUIPMENT AND/OR MATERIALS IN THIS STREAM.  ODOT CONSTRUCTION AND MATERIALS SPECIFICATIONS SECTION 107.10 (PROTECTION AND RESTORATION OF PROPERTY) PROHIBIT THE CONTRACTOR FROM CREATING STAGING AREAS NEAR STREAMS AND/OR WETLANDS.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THE ODOT TRAFFIC ENGINEERING MANUAL NOTES 642-58 NOTIFICATION OF TRAFFIC RESTRICTIONS AND, IF APPLICABLE, 642-8 ITEM 614, MAINTAINING TRAFFIC (NOTICE OF CLOSURE SIGN) SHALL BE INCORPORATED INTO THE PROJECT CONSTRUCTION PLAN.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Mark Andrasik, </w:t>
            </w:r>
            <w:r>
              <w:rPr>
                <w:rStyle w:val="DefaultParagraphFont"/>
                <w:b w:val="0"/>
                <w:sz w:val="24"/>
                <w:szCs w:val="24"/>
                <w:lang w:val="en-US" w:eastAsia="en-US" w:bidi="ar-SA"/>
              </w:rPr>
              <w:t>Sean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23,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23,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Structure Work Breakdown.pdf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13</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13</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87273 MAH IR 0680 07.31</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23,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87273 MAH IR 0680 07.31</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23,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87273 MAH IR 0680 07.31</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23,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87273 MAH IR 0680 07.31</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23,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87273 MAH IR 0680 07.31</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23,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2017-02-23T05:00:00+00:00</DateCompleted>
    <Internal_x0020_Only xmlns="df873bd8-8520-468a-8ecb-74db49e47217">No</Internal_x0020_Only>
    <FID xmlns="df873bd8-8520-468a-8ecb-74db49e47217">5786</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A5D16187-D935-4B55-9586-BA20F6648D60}"/>
</file>

<file path=customXml/itemProps2.xml><?xml version="1.0" encoding="utf-8"?>
<ds:datastoreItem xmlns:ds="http://schemas.openxmlformats.org/officeDocument/2006/customXml" ds:itemID="{1571BABF-56B9-4FAA-8981-B2B6D4C5CD5A}"/>
</file>

<file path=customXml/itemProps3.xml><?xml version="1.0" encoding="utf-8"?>
<ds:datastoreItem xmlns:ds="http://schemas.openxmlformats.org/officeDocument/2006/customXml" ds:itemID="{384CF101-DCC5-4F6D-9757-E729E05BA62C}"/>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