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LUC/OTT 280/65/163 FY17 Elec Mnt PID 99660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99660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be on the Craig Bridge (SR 65) and the Veterans Glass City Skyway Bridge (I-280) in the City of Toledo, Lucas County, and the Port Clinton Bridge (SR 163) in the City of Port Clinton, Ottawa County, Ohio.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electrical maintenance work will be performed inside of the existing bridges, meaning inside of the Craig and Port Clinton bridges, and also inside of the VGCS bridge superstructure/pylon. There will be no work or activity below the deck outside of any of the bridges.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Maintenance will also be performed on 4 storm water pump stations located at </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LUC-280-0220-Storm water pump station located at Starr Avenue and I-280, Toledo, OH</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LUC-280-0564-Storm water pump station located at Manhattan Blvd. and I-280, Toledo, OH</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 xml:space="preserve">OTT-51-0973- Storm water pump station located at the Woodville Rd. &amp; NorfolkSouthern Railroad overpass, Allen Township, Ottawa County OH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FUL-120-1265- Storm water pump station located at the Indiana &amp; Ohio RR underpass,Amboy Township, Fulton OH).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materials, including but not limited to grease, epoxy, paint, concrete, grindings, asphalt, etc. from entering waterways during all construction operations. The contractor shall immediately remove any material that falls into the roadside ditches, streams, wetlands, or other waters through non-mechanical means. No equipment or staging shall be permitted in any streams, wetlands, or other waters.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Work on the structures shall not be performed between the bridge deck and the water within the navigation channel. Nothing shall change the vertical clearance height between the lowest portion of the bridge and the surface of the water within the navigational channel.</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materials, including but not limited to grease, epoxy, paint, concrete, grindings, asphalt, etc. from entering waterways during all construction operations. The contractor shall immediately remove any material that falls into the roadside ditches, streams, wetlands, or other waters through non-mechanical means. No equipment or staging shall be permitted in any streams, wetlands, or other waters.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Work on the structures shall not be performed between the bridge deck and the water within the navigation channel. Nothing shall change the vertical clearance height between the lowest portion of the bridge and the surface of the water within the navigational channel.</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99660 LUC/OTT 280/65/163 FY17 Elec Mnt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99660 LUC/OTT 280/65/163 FY17 Elec Mnt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99660 LUC/OTT 280/65/163 FY17 Elec Mnt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99660 LUC/OTT 280/65/163 FY17 Elec Mnt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99660 LUC/OTT 280/65/163 FY17 Elec Mnt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2016-06-17T04:00:00+00:00</DateCompleted>
    <Internal_x0020_Only xmlns="df873bd8-8520-468a-8ecb-74db49e47217">No</Internal_x0020_Only>
    <FID xmlns="df873bd8-8520-468a-8ecb-74db49e47217">5825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10C94A6-37D6-4CBA-A644-20207DB439E9}"/>
</file>

<file path=customXml/itemProps2.xml><?xml version="1.0" encoding="utf-8"?>
<ds:datastoreItem xmlns:ds="http://schemas.openxmlformats.org/officeDocument/2006/customXml" ds:itemID="{FFA89A5D-2E2A-4C7E-837A-1F145970775D}"/>
</file>

<file path=customXml/itemProps3.xml><?xml version="1.0" encoding="utf-8"?>
<ds:datastoreItem xmlns:ds="http://schemas.openxmlformats.org/officeDocument/2006/customXml" ds:itemID="{6A844461-5C91-4D8A-B90D-0F180245B99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