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SR 010 16.13 Steel PID 96986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Kent Kapustar</w:t>
      </w:r>
    </w:p>
    <w:p w:rsidR="00EC0BFB" w:rsidRPr="008201BF" w:rsidP="008201BF">
      <w:pPr>
        <w:jc w:val="center"/>
        <w:rPr>
          <w:sz w:val="24"/>
        </w:rPr>
      </w:pPr>
      <w:r w:rsidRPr="008201BF">
        <w:rPr>
          <w:sz w:val="24"/>
        </w:rPr>
        <w:t xml:space="preserve"> </w:t>
      </w:r>
      <w:r w:rsidR="00F64703">
        <w:rPr>
          <w:sz w:val="24"/>
        </w:rPr>
        <w:t xml:space="preserve"> Richland Engineering Limited</w:t>
      </w:r>
    </w:p>
    <w:p w:rsidR="008201BF" w:rsidRPr="008201BF" w:rsidP="008201BF">
      <w:pPr>
        <w:jc w:val="center"/>
        <w:rPr>
          <w:sz w:val="24"/>
        </w:rPr>
      </w:pPr>
    </w:p>
    <w:p w:rsidR="008201BF" w:rsidRPr="008201BF" w:rsidP="008201BF">
      <w:pPr>
        <w:jc w:val="center"/>
        <w:rPr>
          <w:sz w:val="24"/>
        </w:rPr>
      </w:pPr>
      <w:r>
        <w:rPr>
          <w:sz w:val="24"/>
        </w:rPr>
        <w:t>Phone:  419-524-0074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96986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Structural steel repair/retrofit on the Hope Memorial Bridge over the Cuyahoga River in the City of Cleveland.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Work includes replacing the fenders along the piers within the Cuyahoga River.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2016stipID0709FDCO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Other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Endangered Species - Other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Work within 300-ft of Peregrine falcon nest box shall be avoided between 2/1 and 8/31.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Historic Site Exception - 774.13(a)</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- 774.13(a)</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03/31/2016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ODOT to obtain Waterway Permits.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US Army Corps of Engineers Compliance Certification must be submitted to Corps within 30-days of project complete date.</w:t>
      </w:r>
    </w:p>
    <w:p>
      <w:pPr>
        <w:pStyle w:val="BodyText0"/>
        <w:keepNext/>
        <w:rPr>
          <w:rStyle w:val="DefaultParagraphFont"/>
          <w:rFonts w:ascii="Calibri" w:eastAsia="Calibri" w:hAnsi="Calibri" w:cs="Calibri"/>
        </w:rPr>
      </w:pPr>
      <w:r>
        <w:rPr>
          <w:rStyle w:val="DefaultParagraphFont"/>
          <w:rFonts w:ascii="Calibri" w:eastAsia="Calibri" w:hAnsi="Calibri" w:cs="Calibri"/>
        </w:rPr>
        <w:t>3. Engineering plans showing the new fendering system in relation to the navigable channel of the Cuyahoga River shall be submitted to the U.S. Coast Guard at the completion of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4. As plans become available, Section 106 Consultation will be initiated to ensure "no adverse effect" remains applicable.</w:t>
      </w:r>
    </w:p>
    <w:p>
      <w:pPr>
        <w:pStyle w:val="BodyText0"/>
        <w:keepNext/>
        <w:rPr>
          <w:rStyle w:val="DefaultParagraphFont"/>
          <w:rFonts w:ascii="Calibri" w:eastAsia="Calibri" w:hAnsi="Calibri" w:cs="Calibri"/>
        </w:rPr>
      </w:pPr>
      <w:r>
        <w:rPr>
          <w:rStyle w:val="DefaultParagraphFont"/>
          <w:rFonts w:ascii="Calibri" w:eastAsia="Calibri" w:hAnsi="Calibri" w:cs="Calibri"/>
        </w:rPr>
        <w:t>5. Work within 300-feet of the existing Peregrine falcon nest on the bridge shall not can be performed between February 1st and August 31st.</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schedule a pre-construction inspection of the project site with USACE within 30-days of initiating work.   Contact Mr. Vito Melilli, USACE, Buffalo District.</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schedule a final inspection of the completed work with USACE within 30 days of completion of construction.  Contact Mr. Vito Melilli, Buffalo District.</w:t>
      </w:r>
    </w:p>
    <w:p>
      <w:pPr>
        <w:pStyle w:val="BodyText0"/>
        <w:keepNext/>
        <w:rPr>
          <w:rStyle w:val="DefaultParagraphFont"/>
          <w:rFonts w:ascii="Calibri" w:eastAsia="Calibri" w:hAnsi="Calibri" w:cs="Calibri"/>
        </w:rPr>
      </w:pPr>
      <w:r>
        <w:rPr>
          <w:rStyle w:val="DefaultParagraphFont"/>
          <w:rFonts w:ascii="Calibri" w:eastAsia="Calibri" w:hAnsi="Calibri" w:cs="Calibri"/>
        </w:rPr>
        <w:t>8. Upon completion of the project, the Contractor shall provide engineering plans showing the new fendering system in relation to the navigation channel of the Cuyahoga River to the U.S. Coast Guard.  Contact Scott Striffler, Chief, Bridge Branch, U.S. Coast Guard at (216) 902-6087.</w:t>
      </w:r>
    </w:p>
    <w:p>
      <w:pPr>
        <w:pStyle w:val="BodyText0"/>
        <w:keepNext/>
        <w:rPr>
          <w:rStyle w:val="DefaultParagraphFont"/>
          <w:rFonts w:ascii="Calibri" w:eastAsia="Calibri" w:hAnsi="Calibri" w:cs="Calibri"/>
        </w:rPr>
      </w:pPr>
      <w:r>
        <w:rPr>
          <w:rStyle w:val="DefaultParagraphFont"/>
          <w:rFonts w:ascii="Calibri" w:eastAsia="Calibri" w:hAnsi="Calibri" w:cs="Calibri"/>
        </w:rPr>
        <w:t>9. Public access to most areas (except temporary right-of-way) of Scranton Flats Park will be maintained during construction during normal Park hours.</w:t>
      </w:r>
    </w:p>
    <w:p>
      <w:pPr>
        <w:pStyle w:val="BodyText0"/>
        <w:keepNext/>
        <w:rPr>
          <w:rStyle w:val="DefaultParagraphFont"/>
          <w:rFonts w:ascii="Calibri" w:eastAsia="Calibri" w:hAnsi="Calibri" w:cs="Calibri"/>
        </w:rPr>
      </w:pPr>
      <w:r>
        <w:rPr>
          <w:rStyle w:val="DefaultParagraphFont"/>
          <w:rFonts w:ascii="Calibri" w:eastAsia="Calibri" w:hAnsi="Calibri" w:cs="Calibri"/>
        </w:rPr>
        <w:t>10. Public access to Towpath Trail and Centennial Lake Link Trail will be maintained with the use of flaggers during construction during normal Trail hours.</w:t>
      </w:r>
    </w:p>
    <w:p>
      <w:pPr>
        <w:pStyle w:val="BodyText0"/>
        <w:keepNext/>
        <w:rPr>
          <w:rStyle w:val="DefaultParagraphFont"/>
          <w:rFonts w:ascii="Calibri" w:eastAsia="Calibri" w:hAnsi="Calibri" w:cs="Calibri"/>
        </w:rPr>
      </w:pPr>
      <w:r>
        <w:rPr>
          <w:rStyle w:val="DefaultParagraphFont"/>
          <w:rFonts w:ascii="Calibri" w:eastAsia="Calibri" w:hAnsi="Calibri" w:cs="Calibri"/>
        </w:rPr>
        <w:t>11. No staging and/or storage of construction equipment will occur within the known boundaries of the Section 4(f) property.</w:t>
      </w:r>
    </w:p>
    <w:p>
      <w:pPr>
        <w:pStyle w:val="BodyText0"/>
        <w:keepNext/>
        <w:rPr>
          <w:rStyle w:val="DefaultParagraphFont"/>
          <w:rFonts w:ascii="Calibri" w:eastAsia="Calibri" w:hAnsi="Calibri" w:cs="Calibri"/>
        </w:rPr>
      </w:pPr>
      <w:r>
        <w:rPr>
          <w:rStyle w:val="DefaultParagraphFont"/>
          <w:rFonts w:ascii="Calibri" w:eastAsia="Calibri" w:hAnsi="Calibri" w:cs="Calibri"/>
        </w:rPr>
        <w:t>12. Temporary construction fencing will be installed along proposed construction limits prior to the start of construction activities to protect the existing 4(f) property and the public. [Security construction fencing will be installed along the construction limits of the project and along both sides of the Trails, except designated crossings for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13. Appropriate signage will be installed to alert users of the Park to the closure.</w:t>
      </w:r>
    </w:p>
    <w:p>
      <w:pPr>
        <w:pStyle w:val="BodyText0"/>
        <w:keepNext/>
        <w:rPr>
          <w:rStyle w:val="DefaultParagraphFont"/>
          <w:rFonts w:ascii="Calibri" w:eastAsia="Calibri" w:hAnsi="Calibri" w:cs="Calibri"/>
        </w:rPr>
      </w:pPr>
      <w:r>
        <w:rPr>
          <w:rStyle w:val="DefaultParagraphFont"/>
          <w:rFonts w:ascii="Calibri" w:eastAsia="Calibri" w:hAnsi="Calibri" w:cs="Calibri"/>
        </w:rPr>
        <w:t>14. Appropriate signage will be installed to alert users of Trails to the presence of flaggers and possible short term closures.</w:t>
      </w:r>
    </w:p>
    <w:p>
      <w:pPr>
        <w:pStyle w:val="BodyText0"/>
        <w:keepNext/>
        <w:rPr>
          <w:rStyle w:val="DefaultParagraphFont"/>
          <w:rFonts w:ascii="Calibri" w:eastAsia="Calibri" w:hAnsi="Calibri" w:cs="Calibri"/>
        </w:rPr>
      </w:pPr>
      <w:r>
        <w:rPr>
          <w:rStyle w:val="DefaultParagraphFont"/>
          <w:rFonts w:ascii="Calibri" w:eastAsia="Calibri" w:hAnsi="Calibri" w:cs="Calibri"/>
        </w:rPr>
        <w:t>15. A construction permit must be obtained from Cleveland Metroparks prior to the start of any construction activity involving the Towpath Trail, Centennial Lake Link Trail, or other Metropark property.</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16. The Contractor and ODOT will coordinate the construction schedule with the City of Cleveland and Cleveland Metroparks.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ODOT to obtain Waterway Permits.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US Army Corps of Engineers Compliance Certification must be submitted to Corps within 30-days of project complete date.</w:t>
      </w:r>
    </w:p>
    <w:p>
      <w:pPr>
        <w:pStyle w:val="BodyText1"/>
        <w:keepNext/>
        <w:rPr>
          <w:rStyle w:val="DefaultParagraphFont"/>
          <w:rFonts w:ascii="Calibri" w:eastAsia="Calibri" w:hAnsi="Calibri" w:cs="Calibri"/>
        </w:rPr>
      </w:pPr>
      <w:r>
        <w:rPr>
          <w:rStyle w:val="DefaultParagraphFont"/>
          <w:rFonts w:ascii="Calibri" w:eastAsia="Calibri" w:hAnsi="Calibri" w:cs="Calibri"/>
        </w:rPr>
        <w:t>3. Engineering plans showing the new fendering system in relation to the navigable channel of the Cuyahoga River shall be submitted to the U.S. Coast Guard at the completion of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4. As plans become available, Section 106 Consultation will be initiated to ensure "no adverse effect" remains applicable.</w:t>
      </w:r>
    </w:p>
    <w:p>
      <w:pPr>
        <w:pStyle w:val="BodyText1"/>
        <w:keepNext/>
        <w:rPr>
          <w:rStyle w:val="DefaultParagraphFont"/>
          <w:rFonts w:ascii="Calibri" w:eastAsia="Calibri" w:hAnsi="Calibri" w:cs="Calibri"/>
        </w:rPr>
      </w:pPr>
      <w:r>
        <w:rPr>
          <w:rStyle w:val="DefaultParagraphFont"/>
          <w:rFonts w:ascii="Calibri" w:eastAsia="Calibri" w:hAnsi="Calibri" w:cs="Calibri"/>
        </w:rPr>
        <w:t>5. Work within 300-feet of the existing Peregrine falcon nest on the bridge shall not can be performed between February 1st and August 31st.</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schedule a pre-construction inspection of the project site with USACE within 30-days of initiating work.   Contact Mr. Vito Melilli, USACE, Buffalo District.</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schedule a final inspection of the completed work with USACE within 30 days of completion of construction.  Contact Mr. Vito Melilli, Buffalo District.</w:t>
      </w:r>
    </w:p>
    <w:p>
      <w:pPr>
        <w:pStyle w:val="BodyText1"/>
        <w:keepNext/>
        <w:rPr>
          <w:rStyle w:val="DefaultParagraphFont"/>
          <w:rFonts w:ascii="Calibri" w:eastAsia="Calibri" w:hAnsi="Calibri" w:cs="Calibri"/>
        </w:rPr>
      </w:pPr>
      <w:r>
        <w:rPr>
          <w:rStyle w:val="DefaultParagraphFont"/>
          <w:rFonts w:ascii="Calibri" w:eastAsia="Calibri" w:hAnsi="Calibri" w:cs="Calibri"/>
        </w:rPr>
        <w:t>8. Upon completion of the project, the Contractor shall provide engineering plans showing the new fendering system in relation to the navigation channel of the Cuyahoga River to the U.S. Coast Guard.  Contact Scott Striffler, Chief, Bridge Branch, U.S. Coast Guard at (216) 902-6087.</w:t>
      </w:r>
    </w:p>
    <w:p>
      <w:pPr>
        <w:pStyle w:val="BodyText1"/>
        <w:keepNext/>
        <w:rPr>
          <w:rStyle w:val="DefaultParagraphFont"/>
          <w:rFonts w:ascii="Calibri" w:eastAsia="Calibri" w:hAnsi="Calibri" w:cs="Calibri"/>
        </w:rPr>
      </w:pPr>
      <w:r>
        <w:rPr>
          <w:rStyle w:val="DefaultParagraphFont"/>
          <w:rFonts w:ascii="Calibri" w:eastAsia="Calibri" w:hAnsi="Calibri" w:cs="Calibri"/>
        </w:rPr>
        <w:t>9. Public access to most areas (except temporary right-of-way) of Scranton Flats Park will be maintained during construction during normal Park hours.</w:t>
      </w:r>
    </w:p>
    <w:p>
      <w:pPr>
        <w:pStyle w:val="BodyText1"/>
        <w:keepNext/>
        <w:rPr>
          <w:rStyle w:val="DefaultParagraphFont"/>
          <w:rFonts w:ascii="Calibri" w:eastAsia="Calibri" w:hAnsi="Calibri" w:cs="Calibri"/>
        </w:rPr>
      </w:pPr>
      <w:r>
        <w:rPr>
          <w:rStyle w:val="DefaultParagraphFont"/>
          <w:rFonts w:ascii="Calibri" w:eastAsia="Calibri" w:hAnsi="Calibri" w:cs="Calibri"/>
        </w:rPr>
        <w:t>10. Public access to Towpath Trail and Centennial Lake Link Trail will be maintained with the use of flaggers during construction during normal Trail hours.</w:t>
      </w:r>
    </w:p>
    <w:p>
      <w:pPr>
        <w:pStyle w:val="BodyText1"/>
        <w:keepNext/>
        <w:rPr>
          <w:rStyle w:val="DefaultParagraphFont"/>
          <w:rFonts w:ascii="Calibri" w:eastAsia="Calibri" w:hAnsi="Calibri" w:cs="Calibri"/>
        </w:rPr>
      </w:pPr>
      <w:r>
        <w:rPr>
          <w:rStyle w:val="DefaultParagraphFont"/>
          <w:rFonts w:ascii="Calibri" w:eastAsia="Calibri" w:hAnsi="Calibri" w:cs="Calibri"/>
        </w:rPr>
        <w:t>11. No staging and/or storage of construction equipment will occur within the known boundaries of the Section 4(f) property.</w:t>
      </w:r>
    </w:p>
    <w:p>
      <w:pPr>
        <w:pStyle w:val="BodyText1"/>
        <w:keepNext/>
        <w:rPr>
          <w:rStyle w:val="DefaultParagraphFont"/>
          <w:rFonts w:ascii="Calibri" w:eastAsia="Calibri" w:hAnsi="Calibri" w:cs="Calibri"/>
        </w:rPr>
      </w:pPr>
      <w:r>
        <w:rPr>
          <w:rStyle w:val="DefaultParagraphFont"/>
          <w:rFonts w:ascii="Calibri" w:eastAsia="Calibri" w:hAnsi="Calibri" w:cs="Calibri"/>
        </w:rPr>
        <w:t>12. Temporary construction fencing will be installed along proposed construction limits prior to the start of construction activities to protect the existing 4(f) property and the public. [Security construction fencing will be installed along the construction limits of the project and along both sides of the Trails, except designated crossings for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13. Appropriate signage will be installed to alert users of the Park to the closure.</w:t>
      </w:r>
    </w:p>
    <w:p>
      <w:pPr>
        <w:pStyle w:val="BodyText1"/>
        <w:keepNext/>
        <w:rPr>
          <w:rStyle w:val="DefaultParagraphFont"/>
          <w:rFonts w:ascii="Calibri" w:eastAsia="Calibri" w:hAnsi="Calibri" w:cs="Calibri"/>
        </w:rPr>
      </w:pPr>
      <w:r>
        <w:rPr>
          <w:rStyle w:val="DefaultParagraphFont"/>
          <w:rFonts w:ascii="Calibri" w:eastAsia="Calibri" w:hAnsi="Calibri" w:cs="Calibri"/>
        </w:rPr>
        <w:t>14. Appropriate signage will be installed to alert users of Trails to the presence of flaggers and possible short term closures.</w:t>
      </w:r>
    </w:p>
    <w:p>
      <w:pPr>
        <w:pStyle w:val="BodyText1"/>
        <w:keepNext/>
        <w:rPr>
          <w:rStyle w:val="DefaultParagraphFont"/>
          <w:rFonts w:ascii="Calibri" w:eastAsia="Calibri" w:hAnsi="Calibri" w:cs="Calibri"/>
        </w:rPr>
      </w:pPr>
      <w:r>
        <w:rPr>
          <w:rStyle w:val="DefaultParagraphFont"/>
          <w:rFonts w:ascii="Calibri" w:eastAsia="Calibri" w:hAnsi="Calibri" w:cs="Calibri"/>
        </w:rPr>
        <w:t>15. A construction permit must be obtained from Cleveland Metroparks prior to the start of any construction activity involving the Towpath Trail, Centennial Lake Link Trail, or other Metropark property.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16. The Contractor and ODOT will coordinate the construction schedule with the City of Cleveland and Cleveland Metroparks.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Kent Kapustar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Richland Engineering Limited</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29 North Park Street, Mansfield OH 44902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419-524-0074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kkapustar@r-e-l.com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Noise Not Reqd.pdf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de minimis.pdf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Purpose and Need</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Pavement Condition Rating.pdf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Condition Rating.pdf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Alternatives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Feasibility Study Update.pdf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Feasibility Study Cost Estimate update.pdf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ESA</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.docx</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Cultural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Ohio Historic Bridge Association Comment.msg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Appendix B approval for Light Pole Repar.pdf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Previous consultation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Plans to SHPO.pdf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Ecological</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Other Resources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Justice</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Public Involvement</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21" w:name="_Toc256000020"/>
      <w:r>
        <w:rPr>
          <w:rStyle w:val="DefaultParagraphFont"/>
          <w:rFonts w:ascii="Calibri" w:eastAsia="Calibri" w:hAnsi="Calibri" w:cs="Calibri"/>
        </w:rPr>
        <w:t>Permits</w:t>
      </w:r>
      <w:bookmarkEnd w:id="21"/>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River Fender Design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Letter to Port of Cleveland.pdf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408 Application.pdf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Section 9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Plans to Port of Cleveland Ltr.docx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408 LOP_Bridge Work.pdf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USACE_Process as NWP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408 Alteration Authorization.pdf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404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Nationwide Permit.pdf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96986 CUY SR 010 16.13 Steel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96986 CUY SR 010 16.13 Steel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96986 CUY SR 010 16.13 Steel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96986 CUY SR 010 16.13 Steel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96986 CUY SR 010 16.13 Steel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2017-11-01T04:00:00+00:00</DateCompleted>
    <Internal_x0020_Only xmlns="df873bd8-8520-468a-8ecb-74db49e47217">No</Internal_x0020_Only>
    <FID xmlns="df873bd8-8520-468a-8ecb-74db49e47217">5848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2212D6C-9900-47B0-B8F6-B4F480ABA669}"/>
</file>

<file path=customXml/itemProps2.xml><?xml version="1.0" encoding="utf-8"?>
<ds:datastoreItem xmlns:ds="http://schemas.openxmlformats.org/officeDocument/2006/customXml" ds:itemID="{ED49D014-1572-4BDF-BA86-67424A3E7B56}"/>
</file>

<file path=customXml/itemProps3.xml><?xml version="1.0" encoding="utf-8"?>
<ds:datastoreItem xmlns:ds="http://schemas.openxmlformats.org/officeDocument/2006/customXml" ds:itemID="{D344DF8B-1DB9-41B4-A87E-020912D9FB2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