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21/93/236 12.39/17.93/0.41 PID 81640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rStyle w:val="Hyperlink"/>
          <w:sz w:val="24"/>
        </w:rPr>
      </w:pPr>
      <w:r w:rsidRPr="008201BF">
        <w:rPr>
          <w:sz w:val="24"/>
        </w:rPr>
        <w:t>e-mail</w:t>
      </w:r>
      <w:r w:rsidRPr="008201BF">
        <w:rPr>
          <w:sz w:val="24"/>
        </w:rPr>
        <w:t xml:space="preserve"> Brian.Peck@dot.ohio.gov</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81640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160" w:afterAutospacing="0"/>
        <w:ind w:left="0" w:right="0"/>
        <w:jc w:val="left"/>
        <w:rPr>
          <w:rStyle w:val="DefaultParagraphFont"/>
          <w:rFonts w:ascii="Calibri" w:eastAsia="Calibri" w:hAnsi="Calibri" w:cs="Calibri"/>
        </w:rPr>
      </w:pPr>
      <w:r>
        <w:rPr>
          <w:rStyle w:val="DefaultParagraphFont"/>
          <w:rFonts w:ascii="Calibri" w:eastAsia="Calibri" w:hAnsi="Calibri" w:cs="Calibri"/>
          <w:sz w:val="20"/>
        </w:rPr>
        <w:t>The Ohio Department of Transportation (ODOT) proposes to apply a micro pavementoverlay and perform bridge structure maintenance on State Route 21 and StateRoute 236 in Lawrence, Jackson and Perry Townships, Stark County, Ohio. Theproposed micro overlay will consist of 1-1/4 inches of fine graded polymerasphalt concrete to be placed on the northbound and southbound lanes of StateRoute 21 from the Stark/Wayne County Line in Lawrence Township to thecity of Massillon North Corporation Limit.  Thesame treatment is also proposed on State Route 236 extending from the StateRoute 236/Portage Street intersection in Jackson Township to the cityof Massillon North Corporation Limit.  Minor maintenance is also proposed on thefollowing six bridge structures:</w:t>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rPr>
        <w:t>STA-21-1507 (SFN: 7600542) spanning a branch of TuscarawasRiver:  The project proposes to remove above ground vegetation within15-feet of the culvert, cleanout and reset the detached end sections of the existing culvertand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STA-21-1643L (SFN: 7600577) &amp; STA-21-1643R (SFN:7600607) spanning Fox Run:  The existing asphalt concrete overlay will be removed andreplaced with new deck waterproofing Asphalt or Type 3 Membrane Waterproofingand an asphalt concrete overlay.  Theproject also proposes to remove above ground vegetation within 15 feet of the bridge,patch exposed concrete substructure with concrete and seal withEpoxy-Urethane sealer, repair the existing abutment slope protection and install newstructure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STA-21-2134 (SFN: 7600666) spanning Deerfield Avenue:  The existing asphalt concrete overlay will be removed andreplaced with new deck waterproofing Asphalt or Type 3 Membrane Waterproofingand an asphalt concrete overlay.  The projectalso proposes to remove above ground vegetation within 15 feet of the bridge, patch exposedconcrete substructure with concrete and seal withEpoxy-Urethane sealer, clean the existing bridge suppers and install new structureidentification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STA-93-1723 (SFN: 7605102) spanning State Route 21:  The existing deck wearing surface and approach slabs willbe sealed with Soluble Reactive Silicate (SRS) Concrete Treatment.  Above groundvegetation within 15 feet of the bridge will also be removed and all exposedconcrete substructure will be inspected, patched with concrete and sealed withEpoxy-Urethane sealer.  Moreover, the approach slab joints and embankment erosiondamage will be repaired and new structure identification signs will be installed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STA-236-0322 (SFN: 7605994) spanning Mudbrook Creek:  The existing deck wearing surface and approach slabs willbe paved, above ground vegetation within15 feet of the bridge will be removed and all exposed concrete substructurewill be inspected, patched with concrete and sealed with Epoxy-Urethane sealer.  In addition, new structure identification signs will be installed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within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02/04/2016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5.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w:t>
      </w:r>
    </w:p>
    <w:p>
      <w:pPr>
        <w:pStyle w:val="BodyText0"/>
        <w:keepNext/>
        <w:rPr>
          <w:rStyle w:val="DefaultParagraphFont"/>
          <w:rFonts w:ascii="Calibri" w:eastAsia="Calibri" w:hAnsi="Calibri" w:cs="Calibri"/>
        </w:rPr>
      </w:pPr>
      <w:r>
        <w:rPr>
          <w:rStyle w:val="DefaultParagraphFont"/>
          <w:rFonts w:ascii="Calibri" w:eastAsia="Calibri" w:hAnsi="Calibri" w:cs="Calibri"/>
        </w:rPr>
        <w:t>7.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8.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9.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10. UNDER THE DIRECTION OF THE PROJECT ENGINEER, THE CONTRACTOR MAY PLACE PERMANENT FILL IN 0.007-ACRE OF WETLAND C AT BRIDGE STRUCTURE NO. STA-21-1507 AND 0.02-ACRE OF WETLAND D AND 0.01-ACRE OF WETLAND E AT BRIDGE STRUCTURE NO. STA-21-1643. PLACEMENT OF TEMPORARY FILLS IN WETLANDS IS PROHIBITED. TO PROTECT AND DELINEATE THE BOUNDARY OF THE EXISTING REMAINING WETLANDS, CONSTRUCTION FENCE AND PERIMETER FILTER FABRIC FENCE SHALL BE INSTALLED ALONG THE PROPOSED CONSTRUCTION LIMITS WITHIN THE WETLANDS AREAS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  UNDER NO CIRCUMSTANCES SHALL THE CONTRACTOR IMPACT THE REMAINING WETLANDS AREAS BEYOND THE CONSTRUCTION LIMITS.  UNDER NO CIRCUMSTANCES SHALL THE CONTRACTOR STORE EQUIPMENT AND/OR MATERIALS WITHIN WETLANDS AREAS.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5.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w:t>
      </w:r>
    </w:p>
    <w:p>
      <w:pPr>
        <w:pStyle w:val="BodyText1"/>
        <w:keepNext/>
        <w:rPr>
          <w:rStyle w:val="DefaultParagraphFont"/>
          <w:rFonts w:ascii="Calibri" w:eastAsia="Calibri" w:hAnsi="Calibri" w:cs="Calibri"/>
        </w:rPr>
      </w:pPr>
      <w:r>
        <w:rPr>
          <w:rStyle w:val="DefaultParagraphFont"/>
          <w:rFonts w:ascii="Calibri" w:eastAsia="Calibri" w:hAnsi="Calibri" w:cs="Calibri"/>
        </w:rPr>
        <w:t>7. ALL MATERIALS REMOVED FROM STREAMS AND/OR DITCHES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8.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9.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UNDER THE DIRECTION OF THE PROJECT ENGINEER, THE CONTRACTOR MAY PLACE PERMANENT FILL IN 0.007-ACRE OF WETLAND C AT BRIDGE STRUCTURE NO. STA-21-1507 AND 0.02-ACRE OF WETLAND D AND 0.01-ACRE OF WETLAND E AT BRIDGE STRUCTURE NO. STA-21-1643. PLACEMENT OF TEMPORARY FILLS IN WETLANDS IS PROHIBITED. TO PROTECT AND DELINEATE THE BOUNDARY OF THE EXISTING REMAINING WETLANDS, CONSTRUCTION FENCE AND PERIMETER FILTER FABRIC FENCE SHALL BE INSTALLED ALONG THE PROPOSED CONSTRUCTION LIMITS WITHIN THE WETLANDS AREAS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  UNDER NO CIRCUMSTANCES SHALL THE CONTRACTOR IMPACT THE REMAINING WETLANDS AREAS BEYOND THE CONSTRUCTION LIMITS.  UNDER NO CIRCUMSTANCES SHALL THE CONTRACTOR STORE EQUIPMENT AND/OR MATERIALS WITHIN WETLANDS AREAS.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 xml:space="preserve">Thomas Powell, </w:t>
            </w:r>
            <w:r>
              <w:rPr>
                <w:rStyle w:val="DefaultParagraphFont"/>
                <w:b w:val="0"/>
                <w:sz w:val="24"/>
                <w:szCs w:val="24"/>
                <w:lang w:val="en-US" w:eastAsia="en-US" w:bidi="ar-SA"/>
              </w:rPr>
              <w:t xml:space="preserve">Ann Schweitzer, </w:t>
            </w:r>
            <w:r>
              <w:rPr>
                <w:rStyle w:val="DefaultParagraphFont"/>
                <w:b w:val="0"/>
                <w:sz w:val="24"/>
                <w:szCs w:val="24"/>
                <w:lang w:val="en-US" w:eastAsia="en-US" w:bidi="ar-SA"/>
              </w:rPr>
              <w:t xml:space="preserve">Grant Stuller, </w:t>
            </w:r>
            <w:r>
              <w:rPr>
                <w:rStyle w:val="DefaultParagraphFont"/>
                <w:b w:val="0"/>
                <w:sz w:val="24"/>
                <w:szCs w:val="24"/>
                <w:lang w:val="en-US" w:eastAsia="en-US" w:bidi="ar-SA"/>
              </w:rPr>
              <w:t>Lincoln Scott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81640 NEPA Assignment Language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ODNR and USFWS Comments.docx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Explination Flood Plain Impact.pdf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19</w:t>
    </w:r>
    <w:r>
      <w:fldChar w:fldCharType="end"/>
    </w:r>
    <w:r>
      <w:t xml:space="preserve"> of </w:t>
    </w:r>
    <w:r>
      <w:fldChar w:fldCharType="begin"/>
    </w:r>
    <w:r>
      <w:instrText xml:space="preserve"> NUMPAGES   \* MERGEFORMAT </w:instrText>
    </w:r>
    <w:r>
      <w:fldChar w:fldCharType="separate"/>
    </w:r>
    <w:r w:rsidR="00A677E6">
      <w:rPr>
        <w:noProof/>
      </w:rPr>
      <w:t>19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81640 STA 21/93/236 12.39/17.93/0.41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81640 STA 21/93/236 12.39/17.93/0.41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81640 STA 21/93/236 12.39/17.93/0.41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81640 STA 21/93/236 12.39/17.93/0.41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81640 STA 21/93/236 12.39/17.93/0.41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2016-03-01T05:00:00+00:00</DateCompleted>
    <Internal_x0020_Only xmlns="df873bd8-8520-468a-8ecb-74db49e47217">No</Internal_x0020_Only>
    <FID xmlns="df873bd8-8520-468a-8ecb-74db49e47217">6128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F5154C8-C69F-4C33-A94A-34E0F00CC480}"/>
</file>

<file path=customXml/itemProps2.xml><?xml version="1.0" encoding="utf-8"?>
<ds:datastoreItem xmlns:ds="http://schemas.openxmlformats.org/officeDocument/2006/customXml" ds:itemID="{7C8B66D9-49CC-4B62-8E2A-FC7EF16432EF}"/>
</file>

<file path=customXml/itemProps3.xml><?xml version="1.0" encoding="utf-8"?>
<ds:datastoreItem xmlns:ds="http://schemas.openxmlformats.org/officeDocument/2006/customXml" ds:itemID="{D721EC5A-A142-465C-ABAE-31F7407478B3}"/>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