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SR 0303 05.49 PID 96563</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6,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6(f)</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96563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(ODOT) proposes to improve State Route (SR) 303 (West Streetsboro Road) in the village of Peninsula, the village of Boston Heights and Boston Township in northern Summit County. The project proposes to resurface/overlay SR 303 from Straight Line Mile (SLM) 5.49 to SLM 10.57 along with minor bridge work to the SUM-303-0719 (SFN 7709935) bridge over the Cuyahoga River and Towpath Trail.  A new 5-foot wide corner sidewalk approximately 27 feet in length with Americans with Disabilities Act (ADA) ramps are also proposed at the northwest corner of the SR 303/Riverview Road intersection.  At this location, a small part of the proposed sidewalk, approximately 2.5 feet by 7 feet in size, is proposed beyond the existing roadway rights-of-way on the Grand Army of the Republic (GAR) Hall property, owned by The Peninsula Foundation.  Consequently, in cooperation with the property owner, a work agreement was obtained from The Peninsula Foundation to perform the proposed sidewalk improvement beyond the existing roadway rights-of-way </w:t>
      </w:r>
      <w:r>
        <w:rPr>
          <w:rStyle w:val="DefaultParagraphFont"/>
          <w:rFonts w:ascii="Calibri" w:eastAsia="Calibri" w:hAnsi="Calibri" w:cs="Calibri"/>
        </w:rPr>
        <w:t>as part of the project.</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Statewide Line Item Number 32 </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 No Historic Properties Affected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 THE CONTRACTOR WILL ADVISE THE ODOT PROJECT ENGINEER A MINIMUM OF FOURTEEN (14) DAYS PRIOR TO THE START OF CONSTRUCTION ACTIVITIES. THE CONTRACTOR MUST ALSO PROVIDE NOTIFICATION TO THE ODOT PROJECT ENGINEER A MINIMUM OF FOURTEEN (14)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BodyText0"/>
        <w:keepNext/>
        <w:rPr>
          <w:rStyle w:val="DefaultParagraphFont"/>
          <w:rFonts w:ascii="Calibri" w:eastAsia="Calibri" w:hAnsi="Calibri" w:cs="Calibri"/>
        </w:rPr>
      </w:pPr>
      <w:r>
        <w:rPr>
          <w:rStyle w:val="DefaultParagraphFont"/>
          <w:rFonts w:ascii="Calibri" w:eastAsia="Calibri" w:hAnsi="Calibri" w:cs="Calibri"/>
        </w:rPr>
        <w:t>2. RIPARIAN HABITAT:  EXISTING RIPARIAN HABITAT ZONES ALONG THE STREAM CHANNELS SHALL BE MAINTAINED TO THE MAXIMUM EXTENT PRACTICABLE DURING PROJECT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3. CONSTRUCTION AND DEMOLITION DEBRIS:  THE CONTRACTOR SHALL TAKE PRECAUTIONS TO AVOID AND/OR LIMIT CONSTRUCTION AND DEMOLITION DEBRIS FROM ENTERING THE STREAM(S).  ANY DEBRIS THAT DOES FALL INTO THE STREAM(S) SHALL BE REMOVED AS SOON AS POSSIBLE.</w:t>
      </w:r>
    </w:p>
    <w:p>
      <w:pPr>
        <w:pStyle w:val="BodyText0"/>
        <w:keepNext/>
        <w:rPr>
          <w:rStyle w:val="DefaultParagraphFont"/>
          <w:rFonts w:ascii="Calibri" w:eastAsia="Calibri" w:hAnsi="Calibri" w:cs="Calibri"/>
        </w:rPr>
      </w:pPr>
      <w:r>
        <w:rPr>
          <w:rStyle w:val="DefaultParagraphFont"/>
          <w:rFonts w:ascii="Calibri" w:eastAsia="Calibri" w:hAnsi="Calibri" w:cs="Calibri"/>
        </w:rPr>
        <w:t>4. STRUCTURE PAINTING/CONCRETE SEALING OPERATIONS:  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0"/>
        <w:keepNext/>
        <w:rPr>
          <w:rStyle w:val="DefaultParagraphFont"/>
          <w:rFonts w:ascii="Calibri" w:eastAsia="Calibri" w:hAnsi="Calibri" w:cs="Calibri"/>
        </w:rPr>
      </w:pPr>
      <w:r>
        <w:rPr>
          <w:rStyle w:val="DefaultParagraphFont"/>
          <w:rFonts w:ascii="Calibri" w:eastAsia="Calibri" w:hAnsi="Calibri" w:cs="Calibri"/>
        </w:rPr>
        <w:t>5. STREAM AVOIDANCE:  UNDER NO CIRCUMSTANCES SHALL THE CONTRACTOR IMPACT THE CUYAHOGA RIVER AT SUM-303-0719.    NO EXCAVATION, GRADING OR FILLING OPERATIONS SHALL BE PERFORMED BELOW THE ORDINARY HIGH WATER MARK (OHWM) OF THE CUYAHOGA RIVER.   UNDER NO CIRCUMSTANCES SHALL THE CONTRACTOR STORE CONSTRUCTION EQUIPMENT AND/OR MATERIALS BELOW THE OHWM OF THE CUYAHOGA RIVER.</w:t>
      </w:r>
    </w:p>
    <w:p>
      <w:pPr>
        <w:pStyle w:val="BodyText0"/>
        <w:keepNext/>
        <w:rPr>
          <w:rStyle w:val="DefaultParagraphFont"/>
          <w:rFonts w:ascii="Calibri" w:eastAsia="Calibri" w:hAnsi="Calibri" w:cs="Calibri"/>
        </w:rPr>
      </w:pPr>
      <w:r>
        <w:rPr>
          <w:rStyle w:val="DefaultParagraphFont"/>
          <w:rFonts w:ascii="Calibri" w:eastAsia="Calibri" w:hAnsi="Calibri" w:cs="Calibri"/>
        </w:rPr>
        <w:t>6. HISTORIC G.A.R. HALL BUILDING AVOIDANCE AND HISTORIC LANDSCAPE FEATURES AVOIDANCE:  UNDER NO CIRCUMSTANCES SHALL THE CONTRACTOR DISTURB THE HISTORIC G.A.R. HALL BUILDING AND HISTORIC LANDSCAPE FEATURES ADJACENT TO THE HISTORIC G.A.R. HALL BUILDING AT 1785 SR 303/MAIN STREET ON THE NORTHWEST CORNER OF THE SR 303/RIVERVIEW ROAD INTERSECTION.  UNDER NO CIRCUMSTANCES SHALL THE CONTRACTOR STORE CONSTRUCTION EQUIPMENT AND/OR MATERIALS ON THE HISTORIC G.A.R. HALL BUILDING PROPERTY BEYOND THE CONSTRUCTION LIMITS.</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 THE CONTRACTOR WILL ADVISE THE ODOT PROJECT ENGINEER A MINIMUM OF FOURTEEN (14) DAYS PRIOR TO THE START OF CONSTRUCTION ACTIVITIES. THE CONTRACTOR MUST ALSO PROVIDE NOTIFICATION TO THE ODOT PROJECT ENGINEER A MINIMUM OF FOURTEEN (14)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BodyText1"/>
        <w:keepNext/>
        <w:rPr>
          <w:rStyle w:val="DefaultParagraphFont"/>
          <w:rFonts w:ascii="Calibri" w:eastAsia="Calibri" w:hAnsi="Calibri" w:cs="Calibri"/>
        </w:rPr>
      </w:pPr>
      <w:r>
        <w:rPr>
          <w:rStyle w:val="DefaultParagraphFont"/>
          <w:rFonts w:ascii="Calibri" w:eastAsia="Calibri" w:hAnsi="Calibri" w:cs="Calibri"/>
        </w:rPr>
        <w:t>2. RIPARIAN HABITAT:  EXISTING RIPARIAN HABITAT ZONES ALONG THE STREAM CHANNELS SHALL BE MAINTAINED TO THE MAXIMUM EXTENT PRACTICABLE DURING PROJECT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3. CONSTRUCTION AND DEMOLITION DEBRIS:  THE CONTRACTOR SHALL TAKE PRECAUTIONS TO AVOID AND/OR LIMIT CONSTRUCTION AND DEMOLITION DEBRIS FROM ENTERING THE STREAM(S).  ANY DEBRIS THAT DOES FALL INTO THE STREAM(S) SHALL BE REMOVED AS SOON AS POSSIBLE.</w:t>
      </w:r>
    </w:p>
    <w:p>
      <w:pPr>
        <w:pStyle w:val="BodyText1"/>
        <w:keepNext/>
        <w:rPr>
          <w:rStyle w:val="DefaultParagraphFont"/>
          <w:rFonts w:ascii="Calibri" w:eastAsia="Calibri" w:hAnsi="Calibri" w:cs="Calibri"/>
        </w:rPr>
      </w:pPr>
      <w:r>
        <w:rPr>
          <w:rStyle w:val="DefaultParagraphFont"/>
          <w:rFonts w:ascii="Calibri" w:eastAsia="Calibri" w:hAnsi="Calibri" w:cs="Calibri"/>
        </w:rPr>
        <w:t>4. STRUCTURE PAINTING/CONCRETE SEALING OPERATIONS:  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1"/>
        <w:keepNext/>
        <w:rPr>
          <w:rStyle w:val="DefaultParagraphFont"/>
          <w:rFonts w:ascii="Calibri" w:eastAsia="Calibri" w:hAnsi="Calibri" w:cs="Calibri"/>
        </w:rPr>
      </w:pPr>
      <w:r>
        <w:rPr>
          <w:rStyle w:val="DefaultParagraphFont"/>
          <w:rFonts w:ascii="Calibri" w:eastAsia="Calibri" w:hAnsi="Calibri" w:cs="Calibri"/>
        </w:rPr>
        <w:t>5. STREAM AVOIDANCE:  UNDER NO CIRCUMSTANCES SHALL THE CONTRACTOR IMPACT THE CUYAHOGA RIVER AT SUM-303-0719.    NO EXCAVATION, GRADING OR FILLING OPERATIONS SHALL BE PERFORMED BELOW THE ORDINARY HIGH WATER MARK (OHWM) OF THE CUYAHOGA RIVER.   UNDER NO CIRCUMSTANCES SHALL THE CONTRACTOR STORE CONSTRUCTION EQUIPMENT AND/OR MATERIALS BELOW THE OHWM OF THE CUYAHOGA RIVER.</w:t>
      </w:r>
    </w:p>
    <w:p>
      <w:pPr>
        <w:pStyle w:val="BodyText1"/>
        <w:keepNext/>
        <w:rPr>
          <w:rStyle w:val="DefaultParagraphFont"/>
          <w:rFonts w:ascii="Calibri" w:eastAsia="Calibri" w:hAnsi="Calibri" w:cs="Calibri"/>
        </w:rPr>
      </w:pPr>
      <w:r>
        <w:rPr>
          <w:rStyle w:val="DefaultParagraphFont"/>
          <w:rFonts w:ascii="Calibri" w:eastAsia="Calibri" w:hAnsi="Calibri" w:cs="Calibri"/>
        </w:rPr>
        <w:t>6. HISTORIC G.A.R. HALL BUILDING AVOIDANCE AND HISTORIC LANDSCAPE FEATURES AVOIDANCE:  UNDER NO CIRCUMSTANCES SHALL THE CONTRACTOR DISTURB THE HISTORIC G.A.R. HALL BUILDING AND HISTORIC LANDSCAPE FEATURES ADJACENT TO THE HISTORIC G.A.R. HALL BUILDING AT 1785 SR 303/MAIN STREET ON THE NORTHWEST CORNER OF THE SR 303/RIVERVIEW ROAD INTERSECTION.  UNDER NO CIRCUMSTANCES SHALL THE CONTRACTOR STORE CONSTRUCTION EQUIPMENT AND/OR MATERIALS ON THE HISTORIC G.A.R. HALL BUILDING PROPERTY BEYOND THE CONSTRUCTION LIMITS.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Matthew Chaney, </w:t>
            </w:r>
            <w:r>
              <w:rPr>
                <w:rStyle w:val="DefaultParagraphFont"/>
                <w:b w:val="0"/>
                <w:sz w:val="24"/>
                <w:szCs w:val="24"/>
                <w:lang w:val="en-US" w:eastAsia="en-US" w:bidi="ar-SA"/>
              </w:rPr>
              <w:t>Robert Lang</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6,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6,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Peninsula Foundation Work Agreement.pdf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Final Tracing Plans.pdf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Attachment to OES Section 106 IOC.pdf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Section 4(f) 6(f)</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OES Section 106 Determination.pdf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10</w:t>
    </w:r>
    <w:r>
      <w:fldChar w:fldCharType="end"/>
    </w:r>
    <w:r>
      <w:t xml:space="preserve"> of </w:t>
    </w:r>
    <w:r>
      <w:fldChar w:fldCharType="begin"/>
    </w:r>
    <w:r>
      <w:instrText xml:space="preserve"> NUMPAGES   \* MERGEFORMAT </w:instrText>
    </w:r>
    <w:r>
      <w:fldChar w:fldCharType="separate"/>
    </w:r>
    <w:r w:rsidR="00A677E6">
      <w:rPr>
        <w:noProof/>
      </w:rPr>
      <w:t>10</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96563 SUM SR 0303 05.49</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6,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96563 SUM SR 0303 05.49</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6,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96563 SUM SR 0303 05.49</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6,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96563 SUM SR 0303 05.49</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6,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96563 SUM SR 0303 05.49</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6,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2016-01-06T05:00:00+00:00</DateCompleted>
    <Internal_x0020_Only xmlns="df873bd8-8520-468a-8ecb-74db49e47217">No</Internal_x0020_Only>
    <FID xmlns="df873bd8-8520-468a-8ecb-74db49e47217">6136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E3E4A8D-2F2D-4C3D-9AB5-F55E12CA1612}"/>
</file>

<file path=customXml/itemProps2.xml><?xml version="1.0" encoding="utf-8"?>
<ds:datastoreItem xmlns:ds="http://schemas.openxmlformats.org/officeDocument/2006/customXml" ds:itemID="{26372E31-DF03-4641-9483-13A02A1E02CC}"/>
</file>

<file path=customXml/itemProps3.xml><?xml version="1.0" encoding="utf-8"?>
<ds:datastoreItem xmlns:ds="http://schemas.openxmlformats.org/officeDocument/2006/customXml" ds:itemID="{1A603F6D-ABBC-47BB-BACA-201C7D5ACFBF}"/>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