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LUC-VGCS FY17 Maint PID 102116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a contract to perform maintenance activities on the IR-280 (Veterans Glass City Skyway) including deck patching at various locations on the top of the bridge deck, replacement of torn expansion strip seals and broken gaskets, reconstruction of concrete plinths at abutment bearings, and painting metal light poles.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materials, including but not limited to grease, epoxy, paint, concrete, grindings, asphalt, etc. from entering waterways. The contractor shall immediately remove any material that falls into the roadside ditches, streams, wetlands, or other waters through non-mechanical means. No equipment shall be permitted in any waters.</w:t>
      </w:r>
    </w:p>
    <w:p>
      <w:pPr>
        <w:pStyle w:val="BodyText0"/>
        <w:keepNext/>
        <w:rPr>
          <w:rStyle w:val="DefaultParagraphFont"/>
          <w:rFonts w:ascii="Calibri" w:eastAsia="Calibri" w:hAnsi="Calibri" w:cs="Calibri"/>
        </w:rPr>
      </w:pPr>
      <w:r>
        <w:rPr>
          <w:rStyle w:val="DefaultParagraphFont"/>
          <w:rFonts w:ascii="Calibri" w:eastAsia="Calibri" w:hAnsi="Calibri" w:cs="Calibri"/>
        </w:rPr>
        <w:t>3. Work on the structures shall not be performed between the bridge deck and the water within the navigation channel. Nothing shall change the vertical clearance height between the lowest portion of the bridge and the surface of the water within the navigational channel.</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developed and implemented.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Adequate erosion and sediment controls shall be implemented and maintained throughout construction, as required.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materials, including but not limited to grease, epoxy, paint, concrete, grindings, asphalt, etc. from entering waterways. The contractor shall immediately remove any material that falls into the roadside ditches, streams, wetlands, or other waters through non-mechanical means. No equipment shall be permitted in any waters.</w:t>
      </w:r>
    </w:p>
    <w:p>
      <w:pPr>
        <w:pStyle w:val="BodyText1"/>
        <w:keepNext/>
        <w:rPr>
          <w:rStyle w:val="DefaultParagraphFont"/>
          <w:rFonts w:ascii="Calibri" w:eastAsia="Calibri" w:hAnsi="Calibri" w:cs="Calibri"/>
        </w:rPr>
      </w:pPr>
      <w:r>
        <w:rPr>
          <w:rStyle w:val="DefaultParagraphFont"/>
          <w:rFonts w:ascii="Calibri" w:eastAsia="Calibri" w:hAnsi="Calibri" w:cs="Calibri"/>
        </w:rPr>
        <w:t>3. Work on the structures shall not be performed between the bridge deck and the water within the navigation channel. Nothing shall change the vertical clearance height between the lowest portion of the bridge and the surface of the water within the navigational channel.</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developed and implemented.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Adequate erosion and sediment controls shall be implemented and maintained throughout construction, as required.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Map.gif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102116 LUC-VGCS FY17 Maint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102116 LUC-VGCS FY17 Maint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102116 LUC-VGCS FY17 Maint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102116 LUC-VGCS FY17 Maint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102116 LUC-VGCS FY17 Maint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2016-06-16T04:00:00+00:00</DateCompleted>
    <Internal_x0020_Only xmlns="df873bd8-8520-468a-8ecb-74db49e47217">No</Internal_x0020_Only>
    <FID xmlns="df873bd8-8520-468a-8ecb-74db49e47217">6140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92A85E9-1415-472A-AD6A-A9F898198F5C}"/>
</file>

<file path=customXml/itemProps2.xml><?xml version="1.0" encoding="utf-8"?>
<ds:datastoreItem xmlns:ds="http://schemas.openxmlformats.org/officeDocument/2006/customXml" ds:itemID="{AB0659BC-7785-474C-A356-CAA7B210025C}"/>
</file>

<file path=customXml/itemProps3.xml><?xml version="1.0" encoding="utf-8"?>
<ds:datastoreItem xmlns:ds="http://schemas.openxmlformats.org/officeDocument/2006/customXml" ds:itemID="{DEE27773-FBB0-4970-9128-7BA5CBE4C19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