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WOO/LUC SR 64 12.03/0.00 Bridge PID 92088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Patrick Etchie</w:t>
      </w:r>
    </w:p>
    <w:p w:rsidR="00EC0BFB" w:rsidRPr="008201BF" w:rsidP="008201BF">
      <w:pPr>
        <w:jc w:val="center"/>
        <w:rPr>
          <w:sz w:val="24"/>
        </w:rPr>
      </w:pPr>
      <w:r w:rsidRPr="008201BF">
        <w:rPr>
          <w:sz w:val="24"/>
        </w:rPr>
        <w:t xml:space="preserve"> </w:t>
      </w:r>
      <w:r w:rsidR="00F64703">
        <w:rPr>
          <w:sz w:val="24"/>
        </w:rPr>
        <w:t xml:space="preserve"> The Mannik  AND  Smith Group Inc.</w:t>
      </w:r>
    </w:p>
    <w:p w:rsidR="008201BF" w:rsidRPr="008201BF" w:rsidP="008201BF">
      <w:pPr>
        <w:jc w:val="center"/>
        <w:rPr>
          <w:sz w:val="24"/>
        </w:rPr>
      </w:pPr>
    </w:p>
    <w:p w:rsidR="008201BF" w:rsidRPr="008201BF" w:rsidP="008201BF">
      <w:pPr>
        <w:jc w:val="center"/>
        <w:rPr>
          <w:sz w:val="24"/>
        </w:rPr>
      </w:pPr>
      <w:r>
        <w:rPr>
          <w:sz w:val="24"/>
        </w:rPr>
        <w:t>Phone:  419-891-2222</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ESA</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33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37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48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53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55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56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59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60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60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65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67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68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69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71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71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72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72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74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75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_Toc256000087 \h </w:instrText>
      </w:r>
      <w:r>
        <w:rPr>
          <w:rStyle w:val="DefaultParagraphFont"/>
        </w:rPr>
        <w:fldChar w:fldCharType="separate"/>
      </w:r>
      <w:r>
        <w:rPr>
          <w:rStyle w:val="DefaultParagraphFont"/>
        </w:rPr>
        <w:t>77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92088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WOO/LUC SR 64 12.03/0.00 Bridge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2016stiplD0065FDCO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$2,027,424.00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$631,000.00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$24,607,500.00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replacement of an existing bridge that carries State Route (SR) 64 over the Maumee River in order to meet current design standards and maintain access for both motorized and non-motorized users. The bridge connects the City of Waterville in Lucas County on the west side of the river to rural Wood County on the east side of the river and is designated as a pedestrian and bike connectivity route in both the Toledo Metropolitan Area Council of Governments (TMACOG) 2035 Regional Transportation Plan as well as in the current Waterville Comprehensive Plan.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structure will be a nine-span concrete pre-stressed I-Beam with composite superstructure and reinforced concrete deck on typical reinforced concrete abutments (founded on drilled shafts) and reinforced concrete wall type piers (founded on drilled shafts). The proposed cross section will have the following characteristics: two 12-foot through lanes; 4-foot outside shoulders; 12-foot shared use path located on the left (downstream) side of the bridge with two observation platforms; and a 7-foot sidewalk located on the right (upstream) side of the bridge. The intersection of SR 64 at River Road on the Lucas County (City of Waterville) side of the bridge will involve a full signal upgrade with turning radii improvements, and the intersection of SR 64 at SR 65 on the Wood County side of the bridge will be constructed as a roundabout.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existing structure was built in 1904, with a truss installed in 1946 and a major rehabilitation in 1988. The existing structure is a through truss structure nearing the end of its service life and is considered Functionally Obsolete with narrow lane widths (11-feet) and is inadequate for non-motorized purposes. The bridge is considered to be "fracture critical" due to its truss style design whereas it contains Fracture Critical Members (FCM).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are wetland and river impacts associated with the proposed project. Permanent and temporary right-of-way will be required. </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Detailed information regarding existing bridge conditions can be found in the Alternatives Evaluation Report located in the project file under Alternatives/Reports/Alternatives Evaluation Report.pdf.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Waterville Bridge over Maumee River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12.007-12.206 WOO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0.000-0.180 LUC</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0.711</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SR00064</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Collector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11900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15500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1560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8702462</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044.6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07/01/1904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2.0 mi. South of USR24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846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966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167</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112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10.54</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4.53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Nine (9) span concrete pre-stressed I-Beam with reinforced concrete substructures on drilled shaft foundations.</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None, outside of Ohio legal loads for new bridge design.</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A Structure Type Study was completed by The Mannik &amp; Smith Group, Inc. in August 2015 as part of the Alternatives Evaluation Report. The report evaluated four bridge design options including Steel Plate Girder; Steel Haunch Plate Girder; Concrete Haunch I-Girder; and Prestressed Concrete I-Beam. Further design studies concludedth</w:t>
            </w:r>
            <w:r>
              <w:rPr>
                <w:rStyle w:val="DefaultParagraphFont"/>
                <w:b w:val="0"/>
                <w:sz w:val="24"/>
                <w:lang w:val="en-US" w:eastAsia="en-US" w:bidi="ar-SA"/>
              </w:rPr>
              <w:t xml:space="preserve">e preferred appropriate design would be a nine (9) span concrete prestressed I-Beam.  The study can be found in Chapter 6.0 of the Alternatives Evaluation Report, which is located in the project file under </w:t>
            </w:r>
            <w:r>
              <w:rPr>
                <w:rStyle w:val="DefaultParagraphFont"/>
                <w:b w:val="0"/>
                <w:i/>
                <w:sz w:val="24"/>
                <w:u w:val="single"/>
                <w:lang w:val="en-US" w:eastAsia="en-US" w:bidi="ar-SA"/>
              </w:rPr>
              <w:t>Alternatives/Reports/Alternatives Evaluation Report.pdf.</w:t>
            </w:r>
          </w:p>
          <w:p>
            <w:pPr>
              <w:pStyle w:val="Normal2"/>
              <w:spacing w:after="280" w:afterAutospacing="1"/>
              <w:rPr>
                <w:rStyle w:val="DefaultParagraphFont"/>
                <w:b w:val="0"/>
                <w:sz w:val="24"/>
              </w:rPr>
            </w:pP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Construction of the new structure can be substantially completedwhile the existing bridge remains in service. A short-term closure of thebridge cross</w:t>
      </w:r>
      <w:r>
        <w:rPr>
          <w:rStyle w:val="DefaultParagraphFont"/>
          <w:rFonts w:ascii="Calibri" w:eastAsia="Calibri" w:hAnsi="Calibri" w:cs="Calibri"/>
          <w:shd w:val="solid" w:color="FFFFFF" w:fill="auto"/>
        </w:rPr>
        <w:t xml:space="preserve">ing (approximately 2 months) will </w:t>
      </w:r>
      <w:r>
        <w:rPr>
          <w:rStyle w:val="DefaultParagraphFont"/>
          <w:rFonts w:ascii="Calibri" w:eastAsia="Calibri" w:hAnsi="Calibri" w:cs="Calibri"/>
        </w:rPr>
        <w:t>be required toreconstruct the roadway approaches to the new bridge from at the tie ins to the current roadway. </w:t>
      </w:r>
      <w:r>
        <w:rPr>
          <w:rStyle w:val="DefaultParagraphFont"/>
          <w:rFonts w:ascii="Calibri" w:eastAsia="Calibri" w:hAnsi="Calibri" w:cs="Calibri"/>
          <w:shd w:val="solid" w:color="FFFFFF" w:fill="auto"/>
        </w:rPr>
        <w:t xml:space="preserve">The detour will beapproximately 17-22 miles depending on which detour route is used for the nearest adjacent bridge. The two adjacent bridges that would likely be utilized for the detour routes involve the bridge in Maumee (17 mile detour) or the bridge in Grand Rapids (22 mile detour) </w:t>
      </w:r>
      <w:r>
        <w:rPr>
          <w:rStyle w:val="DefaultParagraphFont"/>
          <w:rFonts w:ascii="Calibri" w:eastAsia="Calibri" w:hAnsi="Calibri" w:cs="Calibri"/>
        </w:rPr>
        <w:t>over the Maumee River. The closure will beclosely coordinated with local emergency, law enforcement and schoolofficials. Initial coordination with agencies was made through the public involvement portion of the project via use of notifications to local governmental agencies and officials with Press Releases of public meetings and decisions, notification letters of public meetings, direct mailings to property owners along the corridor, elected officials, and local governments, and through a public comment period. All documentation of the public involvement process can be found in the Project File within the Public Involvement/Project Information section.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w:t>
      </w:r>
      <w:r>
        <w:rPr>
          <w:rStyle w:val="DefaultParagraphFont"/>
          <w:rFonts w:ascii="Calibri" w:eastAsia="Calibri" w:hAnsi="Calibri" w:cs="Calibri"/>
          <w:shd w:val="solid" w:color="FFFFFF" w:fill="auto"/>
        </w:rPr>
        <w:t xml:space="preserve">specifics of the Maintenance of Traffic (MOT) plans will be developed asdetailed construction plans are completed with input from local officials.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 xml:space="preserve">Marine recreational traffic/activities would be maintained during construction, but may berestricted during specific construction activities. The contractor will berequired to coordinate marine impacts </w:t>
      </w:r>
      <w:r>
        <w:rPr>
          <w:rStyle w:val="DefaultParagraphFont"/>
          <w:rFonts w:ascii="Calibri" w:eastAsia="Calibri" w:hAnsi="Calibri" w:cs="Calibri"/>
          <w:sz w:val="20"/>
          <w:shd w:val="solid" w:color="FFFFFF" w:fill="auto"/>
        </w:rPr>
        <w:t>with</w:t>
      </w:r>
      <w:r>
        <w:rPr>
          <w:rStyle w:val="DefaultParagraphFont"/>
          <w:rFonts w:ascii="Calibri" w:eastAsia="Calibri" w:hAnsi="Calibri" w:cs="Calibri"/>
          <w:sz w:val="20"/>
          <w:shd w:val="solid" w:color="FFFFFF" w:fill="auto"/>
        </w:rPr>
        <w:t xml:space="preserve"> </w:t>
      </w:r>
      <w:r>
        <w:rPr>
          <w:rStyle w:val="DefaultParagraphFont"/>
          <w:rFonts w:ascii="Calibri" w:eastAsia="Calibri" w:hAnsi="Calibri" w:cs="Calibri"/>
          <w:sz w:val="20"/>
          <w:shd w:val="solid" w:color="FFFFFF" w:fill="auto"/>
        </w:rPr>
        <w:t>ODNR Scenic</w:t>
      </w:r>
      <w:r>
        <w:rPr>
          <w:rStyle w:val="DefaultParagraphFont"/>
          <w:rFonts w:ascii="Calibri" w:eastAsia="Calibri" w:hAnsi="Calibri" w:cs="Calibri"/>
          <w:sz w:val="20"/>
          <w:shd w:val="solid" w:color="FFFFFF" w:fill="auto"/>
        </w:rPr>
        <w:t xml:space="preserve"> Rivers and the Division of Watercraft.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contractor willbe required to coordinate the restricted period with ODOT and localofficials, who will notify local EMS and schools as necessary.</w:t>
      </w:r>
      <w:r>
        <w:rPr>
          <w:rStyle w:val="DefaultParagraphFont"/>
          <w:rFonts w:ascii="Calibri" w:eastAsia="Calibri" w:hAnsi="Calibri" w:cs="Calibri"/>
        </w:rPr>
        <w:t>Detour information can be found in the project file under General/Maintenance of Traffic/Detour Plan.pdf and Detour Mapping.pdf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Meetings will be held with the City of Waterville, Wood County, ODOT, and the project team following the completion of Stage 2 plans and MOT plans to confirm impacts and notify appropriate public services and facilities prior to the start of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This includes the annual Roche de Boeuf Parade and Festival that occurs typically on the last Saturday in September.</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3.99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Coordination with</w:t>
      </w:r>
      <w:r>
        <w:rPr>
          <w:rStyle w:val="DefaultParagraphFont"/>
          <w:rFonts w:ascii="Calibri" w:eastAsia="Calibri" w:hAnsi="Calibri" w:cs="Calibri"/>
          <w:shd w:val="solid" w:color="FFFFFF" w:fill="auto"/>
        </w:rPr>
        <w:t xml:space="preserve"> utilities has been initiated, and Stage 1 Plans were provided to the known utilities within the project area along with correspondence that requested they review the plans to confirm the accuracy of their facilities being shown on the design plans and provide feedback with any comments or corrections they have regarding their facilities.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following utilities were provided Stage 1 Plans along with correspondence on 1/13/16:</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1) Buckeye Cable (c/o Doug Hartford); 4818 Angola Road; Toledo, OH 43615; (419)-724-9820;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"mailto:dhartford@cablesystem.com"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 xml:space="preserve">dhartford@cablesystem.com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2) Frontier Communications (c/o Paul Hamaker); 3126 N. McCord Road; Toledo, OH 43617; (419)-841-8675;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"mailto:paul.haymaker@ftr.com"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paul.haymaker@ftr.com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3) Time Warner Cable (c/o Don Kurtz); 205 Crystal Avenue; Findlay, OH 45840; (419)-340-0339;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"mailto:Donald.kurtz@twcable.com"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Donald.kurtz@twcable.com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4) Waterville Gas &amp; Oil (c/o Todd Black); 700 Farnsworth Road; Waterville, OH 43566; (419)-878-4972;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"mailto:tblack@watervillegas.com"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tblack@watervillegas.com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5) Northwestern Water and Sewer (c/o Tom Stalter); 12560 Middleton Pike; Bowling Green, OH 43402; (419)-354-9090 ext. 174;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"mailto:tstalter@nwwsd.org"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tstalter@nwwsd.org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6) Lucas County Engineer (c/o Brian Miller); 1049 S. McCord Road; Holland, OH 43528; (419)-213-4541 ext. 4539;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"mailto:bwmiller@co.lucas.oh.us"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bwmiller@co.lucas.oh.us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7) Lucas County Sanitary Engineer (c/o Jim Shaw); 1111 S. McCord Road; Holland, OH 43528; (419)-213-2926;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"mailto:jshaw@co.lucas.oh.us"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jshaw@co.lucas.oh.us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8) Ohio Gas (c/o Greg Nofiger); 1460 Quality Drive; Bryan, OH 43506; (800)-331-7396;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"mailto:gregnofiger@ohiogas.com"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gregnofiger@ohiogas.com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 xml:space="preserve">9) Toledo Edison (c/o Randy Swope); 300 Madison Avenue; Toledo, OH 43562; (419)-249-5218; </w:t>
      </w:r>
      <w:r>
        <w:rPr>
          <w:rStyle w:val="DefaultParagraphFont"/>
          <w:rFonts w:ascii="Calibri" w:eastAsia="Calibri" w:hAnsi="Calibri" w:cs="Calibri"/>
          <w:color w:val="0000FF"/>
          <w:u w:val="single"/>
        </w:rPr>
        <w:fldChar w:fldCharType="begin"/>
      </w:r>
      <w:r>
        <w:rPr>
          <w:rStyle w:val="DefaultParagraphFont"/>
          <w:rFonts w:ascii="Calibri" w:eastAsia="Calibri" w:hAnsi="Calibri" w:cs="Calibri"/>
          <w:color w:val="0000FF"/>
          <w:u w:val="single"/>
        </w:rPr>
        <w:instrText xml:space="preserve"> HYPERLINK "mailto:rrswope@firstenergycorp.com" </w:instrText>
      </w:r>
      <w:r>
        <w:rPr>
          <w:rStyle w:val="DefaultParagraphFont"/>
          <w:rFonts w:ascii="Calibri" w:eastAsia="Calibri" w:hAnsi="Calibri" w:cs="Calibri"/>
          <w:color w:val="0000FF"/>
          <w:u w:val="single"/>
        </w:rPr>
        <w:fldChar w:fldCharType="separate"/>
      </w:r>
      <w:r>
        <w:rPr>
          <w:rStyle w:val="DefaultParagraphFont"/>
          <w:rFonts w:ascii="Calibri" w:eastAsia="Calibri" w:hAnsi="Calibri" w:cs="Calibri"/>
          <w:color w:val="0000FF"/>
          <w:u w:val="single"/>
        </w:rPr>
        <w:t xml:space="preserve">rrswope@firstenergycorp.com </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t>Coordination and correspondence will continue throughout the detailed design process as construction plans are finalized.</w:t>
      </w:r>
    </w:p>
    <w:p>
      <w:pPr>
        <w:pStyle w:val="Normal2"/>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color w:val="0000FF"/>
          <w:u w:val="single"/>
        </w:rPr>
        <w:fldChar w:fldCharType="end"/>
      </w:r>
      <w:r>
        <w:rPr>
          <w:rStyle w:val="DefaultParagraphFont"/>
          <w:rFonts w:ascii="Calibri" w:eastAsia="Calibri" w:hAnsi="Calibri" w:cs="Calibri"/>
        </w:rPr>
        <w:fldChar w:fldCharType="end"/>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Originally built in 1904 with a truss installed in 1946, and a major rehabilitation in 1988, the existing Waterville Bridge (carrying State Route 64 over the Maumee River) is a through truss structure nearing the end of its service life and is considered Functionally Obsolete with insufficient lane widths and lack of adequate non-motorized facilities. The bridge connects the City of Waterville in Lucas County on the west side of the river to rural Wood County on the east side of the river.  The bridge is currently inspected annually (once each calendar year) per the Ohio Revised Code. The non-redundant structure has two main load carrying members (trusses), and failure of one (1) truss can cause a catastrophic bridge collapse. In regard to fracture critical, the failure of one (1) load carrying tension member can cause partial or full collapse (does not matter what type of steel or fabrication process was originally used). Given the characteristics of the bridge and its existing condition, the Ohio Department of Transportation (ODOT) identified the rehabilitation or replacement of the bridge as a project on the TIP/STIP for 2017/2018 with preliminary engineering and detailed design occurring in 2014/2015. Several sources of funding are being utilized including Federal, State, and local MPO Congestion Mitigation and Air Quality (CMAQ) funds. Furthermore, the river crossing is part of a planned pedestrian and bike connectivity route in the Waterville Comprehensive Plan and a network street bike facility in the TMACOG 2035 Regional Transportation Plan.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purpose of the proposed project is to improve bridge and roadway conditions, mobility and access for motorized and non-motorized users.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identified needs listed below have been documented as contributing to the existing mobility and traffic flow issues along State Route 64 in the City of Waterville:</w:t>
      </w:r>
    </w:p>
    <w:p>
      <w:pPr>
        <w:pStyle w:val="Normal3"/>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sz w:val="24"/>
        </w:rPr>
        <w:t>The existing Waterville Bridge has sub-standard lane widths (11 feet) and shoulder widths (1 foot), whereas current design standards per the ODOT Location &amp; Design Manual indicate standard lane widths are lanes of 12 feet and shoulders of 4 feet. The existing roadway has a functional classification of Urban Collector and carries 360 commercial vehicles per day, or approximately 3 percent of the Average Daily Traffic (ADT). The existing structure provides insufficient lane widths for its functional use based on the expected commercial vehicle activity.</w:t>
      </w:r>
    </w:p>
    <w:p>
      <w:pPr>
        <w:pStyle w:val="Normal3"/>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sz w:val="24"/>
        </w:rPr>
        <w:t>The most recent bridge inspection performed in May 2014 indicated a general rating and operational status of 5A (out of 9) meaning fair condition with no load posting required. Per the latest inventory report, the bridge has a Sufficiency Rating (SR) of 44.7 and is considered Functionally Obsolete, meaning the existing bridge is not designed to current geometric standards. The bridge is scheduled for replacement due to the SR being under 50.</w:t>
      </w:r>
    </w:p>
    <w:p>
      <w:pPr>
        <w:pStyle w:val="Normal3"/>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sz w:val="24"/>
        </w:rPr>
        <w:t>The bridge is considered to be "fracture critical" due to its truss style design whereas it contains Fracture Critical Members (FCM).  The FCM's on the existing bridge consist of the truss diagonals, gusset plates, low chords, floor beams, floor beam connections, and sidewalk connections.  The failure of one (1) load carrying tension member can cause partial or full collapse of the structure. Inspection reports indicate these members are experiencing deterioration including section loss (some severe), pack rust, pitting, and loose rods.  Repairs were done to the floor beams and floor beam connections in 2004/2005.  In addition, the pier concrete truss seats that support the primary load carrying members are deteriorating.</w:t>
      </w:r>
    </w:p>
    <w:p>
      <w:pPr>
        <w:pStyle w:val="Normal3"/>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sz w:val="24"/>
        </w:rPr>
        <w:t>The current structure only provides a narrow pedestrian pathway (4') on one side of the structure and no bike path facility. However, this river crossing has been designated a pedestrian and bike connectivity route in the Waterville Comprehensive Plan and a network street bike facility in the TMACOG 2035 Regional Transportation Plan. Therefore this corridor and the river crossing require improved accommodation for bicycle and pedestrian activity. The ODOT Location &amp; Design Manual indicates the standard sidewalk width is 7 feet and a minimum width for a bike path is 10 feet with a 1 foot buffer to a barrier.</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The purpose of the proposed project is to improve bridge and roadway conditions, mobility and access for motorized and non-motorized users. The identified needs included sub-standard roadway geometrics, facility deficiencies, and limited access for non-motorized activities.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proposed project study area incorporates the existing Waterville Bridge (State Route 64) over the Maumee River which borders Lucas and Wood counties, and includes portions of the City of Waterville, Ohio on the western side of the river in Lucas County.</w:t>
      </w:r>
    </w:p>
    <w:p>
      <w:pPr>
        <w:pStyle w:val="Normal3"/>
        <w:spacing w:before="0" w:beforeAutospacing="0" w:after="20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proposed project has independent utility in that it will address the transportation needs to improve mobility and traffic flow along the corridor and structural functionality. This does not preclude other improvements to State Route 64 outside of the bridge area to enhance continuity, remove conflict points, and address traffic flow concerns. No other improvements outside of the State Route 64 corridor are necessary to address the purpose and need of the proposed project.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No Build Alternative maintains the current condition of the bridge and existing roadwaygeometrics, with no improvements other than planned routine maintenance. The existing structure over the Maumee River originally built in 1904 with a truss installed in 1946, and a major rehabilitation in 1988, is nearing the end of its service life and is considered Functionally Obsolete with insufficient lane widths and lack of adequate non-motorized facilities. The non-redundant structure has two main load carrying members (trusses) and failure of one (1) truss can cause a catastrophic bridge collapse. In regard to fracture critical, the failure of one (1) load carrying tension member can cause partial or full collapse (does not matter what type of steel or fabrication process was originally used). The No Build will not address any of the functionally obsolete design issues; fracture critical issues; and does not provide adequate non-motorized facilities. </w:t>
      </w:r>
      <w:r>
        <w:rPr>
          <w:rStyle w:val="DefaultParagraphFont"/>
          <w:rFonts w:ascii="Calibri" w:eastAsia="Calibri" w:hAnsi="Calibri" w:cs="Calibri"/>
        </w:rPr>
        <w:t>Therefore, the No Build does not meet the Purpose &amp; Need for the proposed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08/25/2015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No Build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improvements other than routine maintenance.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meet the Purpose and Need.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Existing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Replace the structure utilizing the existing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Lengthy bridge closure of approximately 12 months that would require a detour of 17 miles or 22 miles depending on detour route, which would create burden on user costs. Project requires decommission of utilities on bridge for entire year during construction.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Parallel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Replace the structure by constructing a new structure on a new alignment parallel to the existing bridge.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Angled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Replace the structure by constructing a new structure on a new angled alignment from Farnsworth Road on west side of the river in the City of Waterville to the existing SR64/SR65 intersection the east side of the river in Wood County.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Higher construction cost from longer structure length; location does not comply with Waterville Comprehensive Plan as it place bridge through future park property; potential adverse (indirect) effects on National Register Historic Places on western bridge approach; alignment could impact fishing and recreational access to Maumee River (Scenic/Recreational River) by impacting Memorial Park; and potential proximity impacts to the Toledo Metroparks-owned Granger Island.</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Parallel Alignment alternative was selected in the Alternatives Evaluation Report as the preferred alternative because this option:Meets the Purpose and Need of the project.Allows traffic to be maintained while new structure is built, which minimizes user costs associated with an extended closure period.Consistent with both the Waterville Comprehensive Plan and the TMACOG 2035 Regional Transportation PlanDoes not require lengthy decommission of utilities on existing bridge during construction of the new structureMinimizes impacts to recreational 4(f) properties and the State Scenic/Recreational designated Maumee River</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 the decision making process, ODOT, the City of Waterville, and the design team evaluated the build and no build alternative based on the Purpose and Need, environmental impacts, operational analyses, stakeholder input, public involvement comments, and long term future needs of the facility. Also considered was the Waterville Comprehensive Plan and the TMACOG 2035 Regional Transportation Plan. The public provided input, specifically during a public meeting that was held on March 27, 2014 at the Waterville Primary School in Waterville. The meeting had a total of 233 people sign in officially and a total of 141 comment sheets were submitted. The majority of respondents preferred either the existing alignment or parallel alignment instead of the angled alignment, and comments also indicated a desire to limit river crossing closure time, thus the parallel alignment would best satisfy the minimal closure time of these two options. Given all of this information and the evaluation process, the parallel alignment option was selected as the preferred alternative.Analysis of alternatives and structure types can be found in the Project File under Alternatives/Reports/Alternatives Evaluation Report.pdf </w:t>
      </w:r>
      <w:r>
        <w:rPr>
          <w:rStyle w:val="DefaultParagraphFont"/>
          <w:rFonts w:ascii="Calibri" w:eastAsia="Calibri" w:hAnsi="Calibri" w:cs="Calibri"/>
          <w:sz w:val="24"/>
        </w:rPr>
        <w:t>The Alternatives Evaluation Matrix can be found in the Project File under Alternatives/Project Information/Alternatives Evaluation Matrix.pdf</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Qualitative MSAT prepared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OEPA Approval Date</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02/01/2016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Qualitative Mobile Source Air Toxics (MSAT) Analysis, dated December 14, 2015, was prepared by Lawhon &amp; Associates, Inc.  On February 1, 2016, the Ohio Environmental Protection Agency (OEPA) determined the proposed project qualifies as a project of "Low Potential for Meaningful MSAT Effects". This determination was made in accordance with the Federal Highway Administrations (FHWA) </w:t>
      </w:r>
      <w:r>
        <w:rPr>
          <w:rStyle w:val="DefaultParagraphFont"/>
          <w:rFonts w:ascii="Calibri" w:eastAsia="Calibri" w:hAnsi="Calibri" w:cs="Calibri"/>
          <w:i/>
        </w:rPr>
        <w:t>Interim Guidance Update on MSATs in NEPA</w:t>
      </w:r>
      <w:r>
        <w:rPr>
          <w:rStyle w:val="DefaultParagraphFont"/>
          <w:rFonts w:ascii="Calibri" w:eastAsia="Calibri" w:hAnsi="Calibri" w:cs="Calibri"/>
        </w:rPr>
        <w:t xml:space="preserve">. </w:t>
      </w:r>
    </w:p>
    <w:p>
      <w:pPr>
        <w:pStyle w:val="Normal5"/>
        <w:numPr>
          <w:ilvl w:val="0"/>
          <w:numId w:val="20"/>
        </w:numPr>
        <w:spacing w:after="280" w:afterAutospacing="1"/>
        <w:rPr>
          <w:rStyle w:val="DefaultParagraphFont"/>
          <w:rFonts w:ascii="Calibri" w:eastAsia="Calibri" w:hAnsi="Calibri" w:cs="Calibri"/>
        </w:rPr>
      </w:pPr>
      <w:r>
        <w:rPr>
          <w:rStyle w:val="DefaultParagraphFont"/>
          <w:rFonts w:ascii="tahoma" w:eastAsia="tahoma" w:hAnsi="tahoma" w:cs="tahoma"/>
          <w:sz w:val="20"/>
        </w:rPr>
        <w:t>The Qualitative MSAT Analysis can be found in the Project File under Air/Reports/Qualitative MSAT Analysis.pdfThe OEPA Approval can be found in the Project File under Air/Coordination/OEPA Approval - Qualitative MSAT.pdf</w:t>
      </w:r>
    </w:p>
    <w:p>
      <w:pPr>
        <w:pStyle w:val="Heading33"/>
        <w:keepNext/>
        <w:rPr>
          <w:rStyle w:val="DefaultParagraphFont"/>
          <w:rFonts w:ascii="tahoma" w:eastAsia="tahoma" w:hAnsi="tahoma" w:cs="tahoma"/>
          <w:sz w:val="20"/>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Lucas and Wood Counties are designated as being in attainmentfor PM2.5, therefore, no additional air quality investigations arenecessary.Relevant mapping can be found in the Project File under Air/Project Information/PM2.5 Nonattainment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Lucas and Wood Counties are designated as being in attainment for Ozone. Furthermore, theproposed project is listed on the STIP (#2016stiplD0065FDCO) and TIP. Therefore, ozone is addressed.Relevant mapping can be found in the Project File</w:t>
      </w:r>
      <w:r>
        <w:rPr>
          <w:rStyle w:val="DefaultParagraphFont"/>
          <w:rFonts w:ascii="Calibri" w:eastAsia="Calibri" w:hAnsi="Calibri" w:cs="Calibri"/>
        </w:rPr>
        <w:t xml:space="preserve"> under Air/Project Information/Ozone Nonattainment Area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12/09/2015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A noise analysis and subsequent report was conducted and prepared by Lawhon and Associates. Based on analysis results, traffic generated noise levels were predicted at eighteen (18) Noise SensitiveReceptor sites representing 22 residential dwelling units and one park usingthe FHWA Traffic Noise Modeling (TNM) Version 2.5 for AM and PM Peak hour traffic for Existing Year2018 and Design Year 2038 Build Alternative 2. The TNM predicted traffic noiselevels range from approximately 50 to 65 dBA within the proposed project area with anaverage increase in traffic noise of about 1.5 dBA. None of the identified receptor sites were predicted to experience peak hourtraffic noise levels in excess of the Noise Abatement Criteria (NAC) of 67 dBA for Category B (residences) or CategoryC (e.g. parks, sport areas, playgrounds). In accordance with 23 CFR 772 and ODOT's Noise Manual, and based on correspondence from the ODOT-OES Noise and Air Quality Coordinator dated December 9, 2016, all appropriate noise abatement measures were considered, no noise impacts will occur, and no additional analysis is required.The Noise Analysis Report can be found in the Project File</w:t>
      </w:r>
      <w:r>
        <w:rPr>
          <w:rStyle w:val="DefaultParagraphFont"/>
          <w:rFonts w:ascii="Calibri" w:eastAsia="Calibri" w:hAnsi="Calibri" w:cs="Calibri"/>
        </w:rPr>
        <w:t xml:space="preserve"> under Noise/Reports/Noise Analysis.pdfThe ODOT-OES correspondence can be found in the Project File under Noise/Coordination/OES Approval_Noise Analysis. pdf</w:t>
      </w:r>
    </w:p>
    <w:p>
      <w:pPr>
        <w:pStyle w:val="Heading34"/>
        <w:keepNext/>
        <w:rPr>
          <w:rStyle w:val="DefaultParagraphFont"/>
          <w:rFonts w:ascii="Calibri" w:eastAsia="Calibri" w:hAnsi="Calibri" w:cs="Calibri"/>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2" w:name="_Toc256000021"/>
      <w:r>
        <w:rPr>
          <w:rStyle w:val="DefaultParagraphFont"/>
          <w:rFonts w:ascii="Calibri" w:eastAsia="Calibri" w:hAnsi="Calibri" w:cs="Calibri"/>
        </w:rPr>
        <w:t>ESA</w:t>
      </w:r>
      <w:bookmarkEnd w:id="22"/>
    </w:p>
    <w:p>
      <w:pPr>
        <w:pStyle w:val="Heading35"/>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01/23/2014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Kam Wah Restaurant (Site No. 20)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38 N. River Road,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Waterville Import Services (Site No. 29)</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37 N. River Road,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Slaske Building Company (Site No. 47)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103 N. River Road,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(industrial land use) (Site No. 53)</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127 N. Second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(industrial land use) (Site No. 54)</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125 N. Second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(industrial land use) (Site No. 55)</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202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Roger's Dance Center (former automotive repair) (Site No. 56)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208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Digital Dish Offices (former automotive repair) (Site No. 57)</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210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Valero Filling Station (former filling station) (Site No. 58)</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214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Allstates Refractory Contractors (industrial land use) (Site No. 60)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218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(former auto body shop in 2000's) (Site No. 61)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129 N. Second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Cooper and Mill Race Antiques (former metal drum warehouse) (Site No. 80)</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215 N. Mechanic Street,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Smedlaps Smithy (former rubber plant) (Site No. 85)</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205 Farnsworth Road,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Pucci (former rubber plant warehouse) (Site No. 91)</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209 Farnsworth Road, Waterville, OH 43566</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2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Environmental Site Assessment(ESA) Screening Report (December 2013) was performed by the Mannik and Smith Group (MSG). The Screening was prepared in accordance with ODOT's Office ofEnvironmental Services (ODOT-OES) 2009 Guidance.Based on the results of the Screening, in correspondence from ODOT-OES dated January 23,2014, the ESA staff recommended a Phase I ESA be conducted on14 properties. However, based on selection of the preferred alternative and discussions with ODOT at the onset of the detailed design phase, only three (3) sites were recommended for Phase I ESA investigations out of the original 14. Based on the results of the Phase I ESA Report (December 2015) conducted by MSG, in correspondence from ODOT-OES dated February 4, 2016, the ESA staff recommended a Phase II ESA was warranted for three properties.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Field activities for the Phase II ESAwere completed on February 18, 2016 and the Phase II ESA Report was submittedin March 2016. Based on the results of the Phase II ESAs, no further actions were recommended for the two properties located at 38 N. River Road and 103 N. River Road, and ODOT-OES in an email correspondence on March 30, 2016 agreed with these findings of no further action for these two properties. However, due to theexceedance of the BUSTR Re-Use Action Level at the property located at 37 N. River Road, excavated soil fromthis site should only be spoiled where it can be controlled for non-residentialland use or characterized as a solid waste and properly disposed.  The ODOT-OES email correspondence on March 30, 2016 agreed with this finding for the property at 37 N. River Road, and thus an environmental commitment plan note was developed that states the contractor is required to dispose of any excavated soils as a solid waste in a licensed solid waste landfill, and that the soils from 37 N. River Road cannot be re-used on the project.</w:t>
      </w:r>
    </w:p>
    <w:p>
      <w:pPr>
        <w:pStyle w:val="Normal7"/>
        <w:numPr>
          <w:ilvl w:val="0"/>
          <w:numId w:val="21"/>
        </w:numPr>
        <w:spacing w:after="0" w:afterAutospacing="0"/>
        <w:rPr>
          <w:rStyle w:val="DefaultParagraphFont"/>
          <w:rFonts w:ascii="Calibri" w:eastAsia="Calibri" w:hAnsi="Calibri" w:cs="Calibri"/>
        </w:rPr>
      </w:pPr>
      <w:r>
        <w:rPr>
          <w:rStyle w:val="DefaultParagraphFont"/>
          <w:rFonts w:ascii="Calibri" w:eastAsia="Calibri" w:hAnsi="Calibri" w:cs="Calibri"/>
        </w:rPr>
        <w:t>Reports can be found in the Project File under ESA/Reports/Screening.pdf; Phase I.pdf and Phase II.pdf</w:t>
      </w:r>
    </w:p>
    <w:p>
      <w:pPr>
        <w:pStyle w:val="Normal7"/>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The ODOT-OES correspondence can be found in the Project File under ESA/Coordination/OES Recommendations - Screening.pdf and OES Recommendations - Phase I.pdf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Environmental Commitments, ESA</w:t>
      </w:r>
      <w:bookmarkEnd w:id="24"/>
    </w:p>
    <w:p>
      <w:pPr>
        <w:pStyle w:val="BodyText6"/>
        <w:keepNext/>
        <w:rPr>
          <w:rStyle w:val="DefaultParagraphFont"/>
          <w:rFonts w:ascii="Calibri" w:eastAsia="Calibri" w:hAnsi="Calibri" w:cs="Calibri"/>
        </w:rPr>
      </w:pPr>
    </w:p>
    <w:p>
      <w:pPr>
        <w:pStyle w:val="BodyText6"/>
        <w:keepNext/>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A solid waste management plan note will be included in the plans for 37 North River Road requiring the contractor to dispose of any excavated soils as a solid waste in a licensed solid waste landfill.  The soils from 37 North River Road cannot be re-used on the project. </w:t>
      </w:r>
    </w:p>
    <w:p>
      <w:pPr>
        <w:pStyle w:val="Heading17"/>
        <w:keepNext/>
        <w:rPr>
          <w:rStyle w:val="DefaultParagraphFont"/>
          <w:rFonts w:ascii="Calibri" w:eastAsia="Calibri" w:hAnsi="Calibri" w:cs="Calibri"/>
        </w:rPr>
      </w:pPr>
      <w:bookmarkStart w:id="25" w:name="_Toc256000024"/>
      <w:r>
        <w:rPr>
          <w:rStyle w:val="DefaultParagraphFont"/>
          <w:rFonts w:ascii="Calibri" w:eastAsia="Calibri" w:hAnsi="Calibri" w:cs="Calibri"/>
        </w:rPr>
        <w:t>Cultural Resources</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Cultural Properties Present</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 History/Architecture Report was prepared by the Mannik &amp; Smith Group (MSG) in August 2013. Within </w:t>
      </w:r>
      <w:r>
        <w:rPr>
          <w:rStyle w:val="DefaultParagraphFont"/>
          <w:rFonts w:ascii="tahoma" w:eastAsia="tahoma" w:hAnsi="tahoma" w:cs="tahoma"/>
        </w:rPr>
        <w:t>a one (1) mile study area, the literature review identified the following: Twelve (12)archaeological sites listed in the Ohio Archaeological Inventory (OAI); 140properties listed in the Ohio Historic Inventory (OHI); five (5) individual propertiesand one (1) historic district listed in the National Register of Historic Places (NRHP), two (2) properties determined eligiblefor NRHP listing, one (1) locally-designated historic district, and three (3) cemeterieslisted in the Ohio Genealogical Society (OGS) files. Three Cultural ResourceManagement (CRM) surveys were conducted within the proposed project area. Theexisting bridge (SFN 8702462) is listedin the ODOT Historic Bridge Inventory, but wasdetermined not eligible for NRHP listing in 2008.</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Aboveground investigations were conducted in July andAugust 2013 within the APE (defined by the ODOT-OESCultural Resource Staff as the construction footprint and an area of sufficientgeographical size to include all feasible alternatives and associatedimpacts). Within the APE, abovegroundreconnaissance identified 26 properties over 50 years of age, including 10 OHIsites. Two(2) OHI sites (Columbian House and Morehouse-Downes House) are individually listed in the NRHP and are located within a locally-designatedhistoric district. Field investigations determined OHI site LUC-00882-18is no longer extant. None of the historic properties are located within the APE of the preferred alternative (Alternative 2).</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Phase I Archaeological report was prepared by the Archaeological Staff of ODOT-OES in September 2014. As part of their investigations, OES conducted a literature review and locational survey within the APE that encompassed the three feasible alternatives, but focused mainly on the preferred (Alternative 2). The literature review determined cultural resource investigations were infrequently conducted and that the proposed project area had not been previously surveyed. The literature review did not identify previously known archaeological resources. Various field methods were used to document disturbances and the presence or absence of archaeological remains across the survey area. No prehistoric resources were identified.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 January 2016, Stage 1 Design Plans were submitted to ODOT District 2, which introduced minor changes to the proposed project footprint. On January 7, 2016, MSG visited the proposed project area to determine if historic properties were present within the expanded project limits. No historic properties were identified and based on the level of ground disturbance, no potential exists for intact archaeological deposits. The results of the field investigations were included in a Phase I History Architecture Addendum that was submitted to ODOT-OES Cultural Resources Staff on January 14, 2016.</w:t>
      </w:r>
    </w:p>
    <w:p>
      <w:pPr>
        <w:pStyle w:val="Normal8"/>
        <w:numPr>
          <w:ilvl w:val="0"/>
          <w:numId w:val="22"/>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Reports can be found in the Project File under Cultural Resources/Reports/Phase I History Architecture.pdf; Phase I Archaeology.pdf; and Phase I History Architecture Addendum.pdf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sz w:val="20"/>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Results of the Phase I History/Architecture and Archaeological Surveys were coordinated with the State Historic Preservation Office (SHPO) on October 27, 2014. In accordance with 36 CFR Part 800.4(d)(1), the Cultural Resources Staff of ODOT-OES determined "No Historic Properties Affected" was the appropriate finding based on the following:Two individually-listed NRHP properties (Columbian House [3 North River Road] and the Morehouse-Downs House [4 South River Road]) are located outside the APE for the preferred alternative. No land from these sites will be required and their contributing features will not be altered or removed by the proposed undertakingPhase II investigations are not required to evaluate the NRHP eligibility of three properties based on their potential as contributing components of a historic district: 23 South River Road (LUC-00851-18); 112 Farnsworth Road (LUC-04638-18); and 128 North River Road (LUC-04639-18). These properties are located outside the APE for the preferred alternative and no impacts to the properties are anticipated.The Waterville Gas &amp; Oil Company building located at 9-11 North River Road (LUC-00838-18) is individually eligible for listing in the NRHP, but is located outside the APE of the preferred alternative, and no impacts to the property are anticipatedNo historic properties of an archaeological nature will be impacted by the proposed project, and no further archaeological investigations are recommended unless an alternative not considered as part of the studies is selected for construction</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The SHPO concurred with the recommended finding on January 5, 2015.</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Section 106 of the National Historic Preservation Act of 1966 requires federal agencies to consider the effect of their actions on properties listed on or eligible for listing on the NRHP and, to provide the public and consulting parties an opportunity to participate in the Section 106 consultation process. In November 2014, ODOT District 2 sent invitation requests to individuals/groups within the vicinity of the proposed project that demonstrated interest in being a consulting party. Individuals responding via applications to be part of the process included Mr. and Mrs. John and Verna Rose (members of the Waterville Historical Society) and Mr. James Bagdonas (Administrator - City of Waterville). The consulting parties were considered to be a part of the project development process and provided comments.</w:t>
      </w:r>
      <w:r>
        <w:rPr>
          <w:rStyle w:val="DefaultParagraphFont"/>
          <w:rFonts w:ascii="Calibri" w:eastAsia="Calibri" w:hAnsi="Calibri" w:cs="Calibri"/>
        </w:rPr>
        <w:t>Coordination and concurrence documents can be found in the Project File under Cultural Resources/Coordination/Coordination with SHPO - NHPA.pdf and SHPO Concurrence - NHPA.pdfConsulting Party information can be found in the Project File under Cultural Resources/Project Information/Section 106 Consulting Party Application.pdf and Section 106 Consulting Party Request Acknowledgement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Archaeological Resource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History/Architecture Adverse Effect</w:t>
      </w:r>
      <w:bookmarkEnd w:id="28"/>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05/06/2015</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0.075</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0.029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C</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0.012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0.099</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0.062</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E</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0.237</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0.072</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F</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1.945</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0.263</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G</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0.500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0.030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H</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0.030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0.000</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I</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0.026</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2.953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Level 2 EcologicalSurvey Report (ESR) dated May 6, 2015, was prepared by the Mannik &amp; Smith Group, based on field investigations conducted in May and June 2013, and December2014. The report identified nine non-isolated wetlands within theproposed project area. The wetland impact acreages from the table above reflect totals based on the Stage 1 Plans and the alignment/construction footprint of the proposed project. A total of 2.953 acres of Category 2 (moderate quality) and Category 3 (high quality) wetlands were identified in the proposed project area. Construction of the new bridge will result in permanent impacts to 0.4277 acres of wetlands, of which 0.2933 acres is Category 3 wetland impacts. These impacts have been reduced preferred alternative since the original Level 2 ESR was conducted based on modifications to the proposed project design plans.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The Level 2 ESR can be found in the Project File under Ecological/Reports/Level 2 Ecological Survey.pdf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Maumee River</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74</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75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2 ESR, the Maumee River (a State Scenic River) is located in the proposed projectarea, and no other streams or waterways wereidentified. The proposed project will permanently impactapproximately 75 feet of the Maumee River to accommodate placement ofbridge piers and Rock Channel Protection (RCP). The Maumee River is a Section10 waterway, which is protected by the Rivers and Harbors Act of 1899 toregulate the placement of any material in navigable waters of the United States.The impacts are anticipated to consist of excavation of streambedmaterials (although the proposed project area is bedrock with only a smallamount of cobble), placement of fill materials within the stream channel of theriver, and placement of materials on the river banks to prepare for demolitionof the existing bridge and construction of the replacement bridge. Theplacement of fill material will likely consist of rock channel protection, andother various clean non-erodible fill materials necessary for the constructionof temporary work pads, support abutments, and stream bank protection in thevicinity of construction activities.</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2 ESR, no other surface waters were identified within the proposed project area.</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types of Unique or high Quality Terrestrial habitat that are present:</w:t>
            </w:r>
          </w:p>
        </w:tc>
        <w:tc>
          <w:tcPr>
            <w:tcW w:w="2880" w:type="dxa"/>
          </w:tcPr>
          <w:p>
            <w:pPr>
              <w:pStyle w:val="BodyText8"/>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Any other habitat that has a prevalence of state or federally listed species. ¿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2 ESR, terrestrial habitat in the proposed project areaconsists of vegetative communities that experience low to high levels ofdisturbance. The following vegetative communities and land cover were identified within the proposed project area: Open Water, Cultivated Crops, Developed Open Space, Developed Low Intensity, Developed Medium Intensity, Floodplain Forest and Herbaceous Riverine Community. Impacts are expected to occur within two high quality vegetative communities (open water and herbaceous riverine community).</w:t>
      </w:r>
      <w:r>
        <w:rPr>
          <w:rStyle w:val="DefaultParagraphFont"/>
          <w:rFonts w:ascii="Times New Roman" w:eastAsia="Times New Roman" w:hAnsi="Times New Roman" w:cs="Times New Roman"/>
          <w:sz w:val="24"/>
        </w:rPr>
        <w:t xml:space="preserve"> </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All threatened and endangered species surveys were conducted in accordance with the Endangered Species Act of 1973 (ESA). The purposes of the ESA are to protect federally endangered and threatened species and to provide a means to conserve their habitats. The Act requires that all federal agencies protect species and preserve their habitats. The law is administered by the USFWS and the National Marine Fisheries Services.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withinthe known range of ten (10) federally listed species and two (2) state listedspecies were observed within or known to be within one mile ofthe proposed project area.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within theknown summer breeding range of the federally endangered Indiana Bat (</w:t>
      </w:r>
      <w:r>
        <w:rPr>
          <w:rStyle w:val="DefaultParagraphFont"/>
          <w:rFonts w:ascii="Calibri" w:eastAsia="Calibri" w:hAnsi="Calibri" w:cs="Calibri"/>
          <w:i/>
        </w:rPr>
        <w:t>Myotis sodalis</w:t>
      </w:r>
      <w:r>
        <w:rPr>
          <w:rStyle w:val="DefaultParagraphFont"/>
          <w:rFonts w:ascii="Calibri" w:eastAsia="Calibri" w:hAnsi="Calibri" w:cs="Calibri"/>
        </w:rPr>
        <w:t>) and federally threatenednorthern long-eared bat (</w:t>
      </w:r>
      <w:r>
        <w:rPr>
          <w:rStyle w:val="DefaultParagraphFont"/>
          <w:rFonts w:ascii="Calibri" w:eastAsia="Calibri" w:hAnsi="Calibri" w:cs="Calibri"/>
          <w:i/>
        </w:rPr>
        <w:t>Myotisseptentrionalis</w:t>
      </w:r>
      <w:r>
        <w:rPr>
          <w:rStyle w:val="DefaultParagraphFont"/>
          <w:rFonts w:ascii="Calibri" w:eastAsia="Calibri" w:hAnsi="Calibri" w:cs="Calibri"/>
        </w:rPr>
        <w:t>). Five trees possessing potentially suitable roostinghabitat (PRT) for each species will be removed.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In addition to the Indianaand northern long-eared bat, the proposed project lies within the known range of Kirtland'swarbler (</w:t>
      </w:r>
      <w:r>
        <w:rPr>
          <w:rStyle w:val="DefaultParagraphFont"/>
          <w:rFonts w:ascii="Calibri" w:eastAsia="Calibri" w:hAnsi="Calibri" w:cs="Calibri"/>
          <w:i/>
        </w:rPr>
        <w:t>Setophaga kirtlandii</w:t>
      </w:r>
      <w:r>
        <w:rPr>
          <w:rStyle w:val="DefaultParagraphFont"/>
          <w:rFonts w:ascii="Calibri" w:eastAsia="Calibri" w:hAnsi="Calibri" w:cs="Calibri"/>
        </w:rPr>
        <w:t>),piping plover (</w:t>
      </w:r>
      <w:r>
        <w:rPr>
          <w:rStyle w:val="DefaultParagraphFont"/>
          <w:rFonts w:ascii="Calibri" w:eastAsia="Calibri" w:hAnsi="Calibri" w:cs="Calibri"/>
          <w:i/>
        </w:rPr>
        <w:t>Charadrius melodus</w:t>
      </w:r>
      <w:r>
        <w:rPr>
          <w:rStyle w:val="DefaultParagraphFont"/>
          <w:rFonts w:ascii="Calibri" w:eastAsia="Calibri" w:hAnsi="Calibri" w:cs="Calibri"/>
        </w:rPr>
        <w:t xml:space="preserve">),karner blue butterfly </w:t>
      </w:r>
      <w:r>
        <w:rPr>
          <w:rStyle w:val="DefaultParagraphFont"/>
          <w:rFonts w:ascii="Calibri" w:eastAsia="Calibri" w:hAnsi="Calibri" w:cs="Calibri"/>
          <w:i/>
        </w:rPr>
        <w:t>(Lycaeides Melissasamuelis</w:t>
      </w:r>
      <w:r>
        <w:rPr>
          <w:rStyle w:val="DefaultParagraphFont"/>
          <w:rFonts w:ascii="Calibri" w:eastAsia="Calibri" w:hAnsi="Calibri" w:cs="Calibri"/>
        </w:rPr>
        <w:t>), rayed bean mussel (</w:t>
      </w:r>
      <w:r>
        <w:rPr>
          <w:rStyle w:val="DefaultParagraphFont"/>
          <w:rFonts w:ascii="Calibri" w:eastAsia="Calibri" w:hAnsi="Calibri" w:cs="Calibri"/>
          <w:i/>
        </w:rPr>
        <w:t>Villosafabalis)</w:t>
      </w:r>
      <w:r>
        <w:rPr>
          <w:rStyle w:val="DefaultParagraphFont"/>
          <w:rFonts w:ascii="Calibri" w:eastAsia="Calibri" w:hAnsi="Calibri" w:cs="Calibri"/>
        </w:rPr>
        <w:t>, all federally endangered species; eastern prairie fringed orchid(</w:t>
      </w:r>
      <w:r>
        <w:rPr>
          <w:rStyle w:val="DefaultParagraphFont"/>
          <w:rFonts w:ascii="Calibri" w:eastAsia="Calibri" w:hAnsi="Calibri" w:cs="Calibri"/>
          <w:i/>
        </w:rPr>
        <w:t>Platanthera leucophaea</w:t>
      </w:r>
      <w:r>
        <w:rPr>
          <w:rStyle w:val="DefaultParagraphFont"/>
          <w:rFonts w:ascii="Calibri" w:eastAsia="Calibri" w:hAnsi="Calibri" w:cs="Calibri"/>
        </w:rPr>
        <w:t>) and rufa redknot (</w:t>
      </w:r>
      <w:r>
        <w:rPr>
          <w:rStyle w:val="DefaultParagraphFont"/>
          <w:rFonts w:ascii="Calibri" w:eastAsia="Calibri" w:hAnsi="Calibri" w:cs="Calibri"/>
          <w:i/>
        </w:rPr>
        <w:t>Calidris canutus rufa</w:t>
      </w:r>
      <w:r>
        <w:rPr>
          <w:rStyle w:val="DefaultParagraphFont"/>
          <w:rFonts w:ascii="Calibri" w:eastAsia="Calibri" w:hAnsi="Calibri" w:cs="Calibri"/>
        </w:rPr>
        <w:t>), bothfederally threatened species; eastern massasauga (</w:t>
      </w:r>
      <w:r>
        <w:rPr>
          <w:rStyle w:val="DefaultParagraphFont"/>
          <w:rFonts w:ascii="Calibri" w:eastAsia="Calibri" w:hAnsi="Calibri" w:cs="Calibri"/>
          <w:i/>
        </w:rPr>
        <w:t>Sistrurus catenaus</w:t>
      </w:r>
      <w:r>
        <w:rPr>
          <w:rStyle w:val="DefaultParagraphFont"/>
          <w:rFonts w:ascii="Calibri" w:eastAsia="Calibri" w:hAnsi="Calibri" w:cs="Calibri"/>
        </w:rPr>
        <w:t>), a federal candidate species; and bald eagle (</w:t>
      </w:r>
      <w:r>
        <w:rPr>
          <w:rStyle w:val="DefaultParagraphFont"/>
          <w:rFonts w:ascii="Calibri" w:eastAsia="Calibri" w:hAnsi="Calibri" w:cs="Calibri"/>
          <w:i/>
        </w:rPr>
        <w:t>Haliaeetus leucocephalus</w:t>
      </w:r>
      <w:r>
        <w:rPr>
          <w:rStyle w:val="DefaultParagraphFont"/>
          <w:rFonts w:ascii="Calibri" w:eastAsia="Calibri" w:hAnsi="Calibri" w:cs="Calibri"/>
        </w:rPr>
        <w:t xml:space="preserve">), a federalspecies of concern protected under the Bald and Golden Eagle Protection Act andMigratory Bird Treaty Act. ODOT has determined the proposed project will have </w:t>
      </w:r>
      <w:r>
        <w:rPr>
          <w:rStyle w:val="DefaultParagraphFont"/>
          <w:rFonts w:ascii="Calibri" w:eastAsia="Calibri" w:hAnsi="Calibri" w:cs="Calibri"/>
          <w:i/>
        </w:rPr>
        <w:t>no effect</w:t>
      </w:r>
      <w:r>
        <w:rPr>
          <w:rStyle w:val="DefaultParagraphFont"/>
          <w:rFonts w:ascii="Calibri" w:eastAsia="Calibri" w:hAnsi="Calibri" w:cs="Calibri"/>
        </w:rPr>
        <w:t xml:space="preserve"> on the aforementioned species. Therefore, consultation under section 7(a) (2) of the Endangered Species Act is not required.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Review of ODNR's Ohio NaturalHeritage Database revealed the eastern cricket frog (</w:t>
      </w:r>
      <w:r>
        <w:rPr>
          <w:rStyle w:val="DefaultParagraphFont"/>
          <w:rFonts w:ascii="Calibri" w:eastAsia="Calibri" w:hAnsi="Calibri" w:cs="Calibri"/>
          <w:i/>
        </w:rPr>
        <w:t>Acris crepitans</w:t>
      </w:r>
      <w:r>
        <w:rPr>
          <w:rStyle w:val="DefaultParagraphFont"/>
          <w:rFonts w:ascii="Calibri" w:eastAsia="Calibri" w:hAnsi="Calibri" w:cs="Calibri"/>
        </w:rPr>
        <w:t>), a state species of concern, was identified withinone mile of the proposed project area. Suitable habitat for the easterncricket frog consists of shores of vegetated permanent pools and streams. Basedon the results of field investigations, suitablehabitat exists within the proposed project area, however, this species was not observed. Dueto the small area of impact to the shoreline of the Maumee River, the proposed projectwill have minimal or no impact on this species.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results of the Level 2 ESR, the threehorn wartyback (</w:t>
      </w:r>
      <w:r>
        <w:rPr>
          <w:rStyle w:val="DefaultParagraphFont"/>
          <w:rFonts w:ascii="Calibri" w:eastAsia="Calibri" w:hAnsi="Calibri" w:cs="Calibri"/>
          <w:i/>
        </w:rPr>
        <w:t>Obliquaria reflexa</w:t>
      </w:r>
      <w:r>
        <w:rPr>
          <w:rStyle w:val="DefaultParagraphFont"/>
          <w:rFonts w:ascii="Calibri" w:eastAsia="Calibri" w:hAnsi="Calibri" w:cs="Calibri"/>
        </w:rPr>
        <w:t>) was identified within the proposed projectarea. Based on email correspondence with ODOT-OES dated January 19, 2016, a mussel survey is not required as the portion of the Maumee River within the proposed project area is bedrock with a small amount of cobble (not suitable mussel habitat).</w:t>
      </w:r>
    </w:p>
    <w:p>
      <w:pPr>
        <w:pStyle w:val="Normal9"/>
        <w:numPr>
          <w:ilvl w:val="0"/>
          <w:numId w:val="23"/>
        </w:numPr>
        <w:spacing w:after="280" w:afterAutospacing="1"/>
        <w:rPr>
          <w:rStyle w:val="DefaultParagraphFont"/>
          <w:rFonts w:ascii="Calibri" w:eastAsia="Calibri" w:hAnsi="Calibri" w:cs="Calibri"/>
        </w:rPr>
      </w:pPr>
      <w:r>
        <w:rPr>
          <w:rStyle w:val="DefaultParagraphFont"/>
          <w:rFonts w:ascii="Calibri" w:eastAsia="Calibri" w:hAnsi="Calibri" w:cs="Calibri"/>
        </w:rPr>
        <w:t>OES correspondence regarding a mussel survey can be found in the  Project File under Ecological/Coordination/OES Approval_No Mussel Survey Required.pdf</w:t>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02/27/2015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02/04/2015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04/22/2015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07/30/2015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02/09/2015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00" w:fill="auto"/>
        </w:rPr>
        <w:t xml:space="preserve">Based on coordination with the US Fish and Wildlife Service (USFWS) and ODNR, specific comments regarding wetland and stream impacts were not provided by either agency. </w:t>
      </w:r>
    </w:p>
    <w:p>
      <w:pPr>
        <w:pStyle w:val="Normal9"/>
        <w:spacing w:after="280" w:afterAutospacing="1"/>
        <w:rPr>
          <w:rStyle w:val="DefaultParagraphFont"/>
          <w:rFonts w:ascii="Calibri" w:eastAsia="Calibri" w:hAnsi="Calibri" w:cs="Calibri"/>
          <w:shd w:val="solid" w:color="FFFF00" w:fill="auto"/>
        </w:rPr>
      </w:pPr>
      <w:r>
        <w:rPr>
          <w:rStyle w:val="DefaultParagraphFont"/>
          <w:rFonts w:ascii="Calibri" w:eastAsia="Calibri" w:hAnsi="Calibri" w:cs="Calibri"/>
        </w:rPr>
        <w:t xml:space="preserve">USFWS recommended that unavoidable impacts to streamsand other important habitats be mitigated. In addition, staging areas should bekept well away from streams and all disturbed areas in the project vicinityshould be mulched and re-vegetated with native plant species. USFWS concurswith ODOT that the proposed project </w:t>
      </w:r>
      <w:r>
        <w:rPr>
          <w:rStyle w:val="DefaultParagraphFont"/>
          <w:rFonts w:ascii="Calibri" w:eastAsia="Calibri" w:hAnsi="Calibri" w:cs="Calibri"/>
          <w:i/>
        </w:rPr>
        <w:t>mayaffect but is not likely to adversely affect</w:t>
      </w:r>
      <w:r>
        <w:rPr>
          <w:rStyle w:val="DefaultParagraphFont"/>
          <w:rFonts w:ascii="Calibri" w:eastAsia="Calibri" w:hAnsi="Calibri" w:cs="Calibri"/>
        </w:rPr>
        <w:t xml:space="preserve"> the Indiana bat and northernlong-eared bat. All tree clearing for this project must be conducted onlybetween October 1 and March 31. In addition, the project will have </w:t>
      </w:r>
      <w:r>
        <w:rPr>
          <w:rStyle w:val="DefaultParagraphFont"/>
          <w:rFonts w:ascii="Calibri" w:eastAsia="Calibri" w:hAnsi="Calibri" w:cs="Calibri"/>
          <w:i/>
        </w:rPr>
        <w:t>no effect</w:t>
      </w:r>
      <w:r>
        <w:rPr>
          <w:rStyle w:val="DefaultParagraphFont"/>
          <w:rFonts w:ascii="Calibri" w:eastAsia="Calibri" w:hAnsi="Calibri" w:cs="Calibri"/>
        </w:rPr>
        <w:t xml:space="preserve"> on the Kirtland's warbler (</w:t>
      </w:r>
      <w:r>
        <w:rPr>
          <w:rStyle w:val="DefaultParagraphFont"/>
          <w:rFonts w:ascii="Calibri" w:eastAsia="Calibri" w:hAnsi="Calibri" w:cs="Calibri"/>
          <w:i/>
        </w:rPr>
        <w:t>Setophaga kirtlandii</w:t>
      </w:r>
      <w:r>
        <w:rPr>
          <w:rStyle w:val="DefaultParagraphFont"/>
          <w:rFonts w:ascii="Calibri" w:eastAsia="Calibri" w:hAnsi="Calibri" w:cs="Calibri"/>
        </w:rPr>
        <w:t>), piping plover (</w:t>
      </w:r>
      <w:r>
        <w:rPr>
          <w:rStyle w:val="DefaultParagraphFont"/>
          <w:rFonts w:ascii="Calibri" w:eastAsia="Calibri" w:hAnsi="Calibri" w:cs="Calibri"/>
          <w:i/>
        </w:rPr>
        <w:t>Charadrius melodus</w:t>
      </w:r>
      <w:r>
        <w:rPr>
          <w:rStyle w:val="DefaultParagraphFont"/>
          <w:rFonts w:ascii="Calibri" w:eastAsia="Calibri" w:hAnsi="Calibri" w:cs="Calibri"/>
        </w:rPr>
        <w:t xml:space="preserve">), karner bluebutterfly </w:t>
      </w:r>
      <w:r>
        <w:rPr>
          <w:rStyle w:val="DefaultParagraphFont"/>
          <w:rFonts w:ascii="Calibri" w:eastAsia="Calibri" w:hAnsi="Calibri" w:cs="Calibri"/>
          <w:i/>
        </w:rPr>
        <w:t>(Lycaeides Melissa samuelis</w:t>
      </w:r>
      <w:r>
        <w:rPr>
          <w:rStyle w:val="DefaultParagraphFont"/>
          <w:rFonts w:ascii="Calibri" w:eastAsia="Calibri" w:hAnsi="Calibri" w:cs="Calibri"/>
        </w:rPr>
        <w:t>),rayed bean mussel (</w:t>
      </w:r>
      <w:r>
        <w:rPr>
          <w:rStyle w:val="DefaultParagraphFont"/>
          <w:rFonts w:ascii="Calibri" w:eastAsia="Calibri" w:hAnsi="Calibri" w:cs="Calibri"/>
          <w:i/>
        </w:rPr>
        <w:t>Villosa fabalis)</w:t>
      </w:r>
      <w:r>
        <w:rPr>
          <w:rStyle w:val="DefaultParagraphFont"/>
          <w:rFonts w:ascii="Calibri" w:eastAsia="Calibri" w:hAnsi="Calibri" w:cs="Calibri"/>
        </w:rPr>
        <w:t>,eastern prairie fringed orchid (</w:t>
      </w:r>
      <w:r>
        <w:rPr>
          <w:rStyle w:val="DefaultParagraphFont"/>
          <w:rFonts w:ascii="Calibri" w:eastAsia="Calibri" w:hAnsi="Calibri" w:cs="Calibri"/>
          <w:i/>
        </w:rPr>
        <w:t>Platantheraleucophaea</w:t>
      </w:r>
      <w:r>
        <w:rPr>
          <w:rStyle w:val="DefaultParagraphFont"/>
          <w:rFonts w:ascii="Calibri" w:eastAsia="Calibri" w:hAnsi="Calibri" w:cs="Calibri"/>
        </w:rPr>
        <w:t>), rufa red knot (</w:t>
      </w:r>
      <w:r>
        <w:rPr>
          <w:rStyle w:val="DefaultParagraphFont"/>
          <w:rFonts w:ascii="Calibri" w:eastAsia="Calibri" w:hAnsi="Calibri" w:cs="Calibri"/>
          <w:i/>
        </w:rPr>
        <w:t>Calidriscanutus rufa</w:t>
      </w:r>
      <w:r>
        <w:rPr>
          <w:rStyle w:val="DefaultParagraphFont"/>
          <w:rFonts w:ascii="Calibri" w:eastAsia="Calibri" w:hAnsi="Calibri" w:cs="Calibri"/>
        </w:rPr>
        <w:t>), eastern massasauga (</w:t>
      </w:r>
      <w:r>
        <w:rPr>
          <w:rStyle w:val="DefaultParagraphFont"/>
          <w:rFonts w:ascii="Calibri" w:eastAsia="Calibri" w:hAnsi="Calibri" w:cs="Calibri"/>
          <w:i/>
        </w:rPr>
        <w:t>Sistruruscatenaus</w:t>
      </w:r>
      <w:r>
        <w:rPr>
          <w:rStyle w:val="DefaultParagraphFont"/>
          <w:rFonts w:ascii="Calibri" w:eastAsia="Calibri" w:hAnsi="Calibri" w:cs="Calibri"/>
        </w:rPr>
        <w:t>) and bald eagle (</w:t>
      </w:r>
      <w:r>
        <w:rPr>
          <w:rStyle w:val="DefaultParagraphFont"/>
          <w:rFonts w:ascii="Calibri" w:eastAsia="Calibri" w:hAnsi="Calibri" w:cs="Calibri"/>
          <w:i/>
        </w:rPr>
        <w:t>Haliaeetusleucocephalus</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Comments  from ODNR Scenic Rivers have been received and are included in the Ecological section of the Project File.  ODOT has </w:t>
      </w:r>
      <w:r>
        <w:rPr>
          <w:rStyle w:val="DefaultParagraphFont"/>
          <w:rFonts w:ascii="Calibri" w:eastAsia="Calibri" w:hAnsi="Calibri" w:cs="Calibri"/>
          <w:sz w:val="24"/>
        </w:rPr>
        <w:t>committed to work with ODNR Scenic Rivers to address their commentsand concerns to the satisfaction of both agencies, and develop plan notesand/or special provisions to assure Scenic River's concerns are adequatelyimplemented.  ODOT will receive approval form the Director ofODNR  in accordance with ORC, Section1547.82 prior to construction.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approved jurisdictional determination was issued bythe USACE on July 30, 2015. It was determined that Wetlands A through I areadjacent to the Maumee River. Therefore, Wetlands A through I within theproject construction limits are subject to regulation under Section 404 of theClean Water Act.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USACE recommends the number of in-stream piers bereduced to the lowest number technically feasible to minimize potential adverseeffects on navigation and aquatic resources.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Division of Wildlife recommended habitat avoidance dates for the habitats listed in the table below. None of these habitats are found in the project construction limits as noted in the table, thus no environmental commitment notes are needed for avoiding these dates during construction.</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ODNR Division of Wildlife also indicate the project is within the range of the western banded killifish (Fundulus diaphananus menona), a state endangered fish. The DOW recommends no in-water work in perennial streams from April 15 to June 30 to reduce impacts to indigenous aquatic species and their habitat.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ODOT shall work with ODNR Scenic Rivers to address their comments and concerns to the satisfaction of both agencies, and develop plan notes and/or special provisions to assure Scenic River's concerns are adequately implemented.  In accordance with ORC Section 1547.82, ODOT must receive approval form the Director of ODNR prior to the start of construction.</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2. No in-water work shall occur from April 15 to June 30 to reduce impacts to indigenous aquatic species and their habitat, including the western banded killifish (Fundulus diaphananus menona), a state endangered fish. </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8"/>
        <w:keepNext/>
        <w:rPr>
          <w:rStyle w:val="DefaultParagraphFont"/>
          <w:rFonts w:ascii="Calibri" w:eastAsia="Calibri" w:hAnsi="Calibri" w:cs="Calibri"/>
        </w:rPr>
      </w:pPr>
      <w:r>
        <w:rPr>
          <w:rStyle w:val="DefaultParagraphFont"/>
          <w:rFonts w:ascii="Calibri" w:eastAsia="Calibri" w:hAnsi="Calibri" w:cs="Calibri"/>
        </w:rPr>
        <w:t>4. The contractor shall notify the U.S. Coast Guard (USCG) Ninth District at least 30 days prior to the start of construction. Contact info: Scot Striffler, Bridge Project Manager, Ninth Coast Guard District PH: (216) 902-6087 FAX: (216) 902-6088 Scot.M.Striffler@USGS.MIL</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ODOT shall provide documentation required by the U.S. Coast Guard (USCG) once the bridge replacement is completed. Complete drawings are not required but a single page showing an overhead and side view of the bridge with clearance information from International Great Lakes Datum 1985/Low Water Datum (IGLD85/LWD) would be adequate for documentation for the USCG.</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24"/>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24"/>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24"/>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temporary ROW will be returned to equal or greater productive capability upon completion of the proposed project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03/24/2016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03/24/2016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islocated in a non-urbanized area.  Based upon review of the USDA Urban-Built Up Area Soils Maps, prime farmland is located on the eastern portion of the proposed project area.  Two parcels in this portion that will require right-of-way acquisition are 54.22 acres and 201.74 acres in size. However, the total amount of right-of-way (0.4728 acres) from both parcels (0.2496 from the 54.22 acre parcel and 0.2232 from the 201.74 acre parcel) does not exceed the conditions of the Farmland Memorandum of Understanding (MOU) between the NRCS and ODOT.  Furthermore, the proposed project is notlocated in an agricultural district and the acres do not exceed the regulations listed in Ohio Revised Code (ORC) 929.05. Based on the scope and type of the proposedproject, along with the amount of right-of-way needed, the proposed projectmeets the criteria/conditions the MOU executed on 3/15/2016.  No further coordinationis required. </w:t>
      </w:r>
    </w:p>
    <w:p>
      <w:pPr>
        <w:pStyle w:val="Normal10"/>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Farmland and Census mapping can be found in the Project File under </w:t>
      </w:r>
      <w:r>
        <w:rPr>
          <w:rStyle w:val="DefaultParagraphFont"/>
          <w:rFonts w:ascii="Calibri" w:eastAsia="Calibri" w:hAnsi="Calibri" w:cs="Calibri"/>
          <w:i/>
        </w:rPr>
        <w:t xml:space="preserve">Other Resources/Farmlands/US Census Urbanized Area Map.pdf </w:t>
      </w:r>
      <w:r>
        <w:rPr>
          <w:rStyle w:val="DefaultParagraphFont"/>
          <w:rFonts w:ascii="Calibri" w:eastAsia="Calibri" w:hAnsi="Calibri" w:cs="Calibri"/>
        </w:rPr>
        <w:t xml:space="preserve">and </w:t>
      </w:r>
      <w:r>
        <w:rPr>
          <w:rStyle w:val="DefaultParagraphFont"/>
          <w:rFonts w:ascii="Calibri" w:eastAsia="Calibri" w:hAnsi="Calibri" w:cs="Calibri"/>
          <w:i/>
        </w:rPr>
        <w:t>USDA Urban-Built Up Area Soils Map.pdf</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A review of drinking water resourceprotection areas from OEPA and of drinking water wells from ODNR Division of Soil and Water Resources revealed no known drinking water source areas locatedwithin the proposed project limits in Lucas and Wood Counties. The literature and mapping reviewed for drinking water resources for this CE document are provided as reference material attachments located at </w:t>
      </w:r>
      <w:r>
        <w:rPr>
          <w:rStyle w:val="DefaultParagraphFont"/>
          <w:rFonts w:ascii="Calibri" w:eastAsia="Calibri" w:hAnsi="Calibri" w:cs="Calibri"/>
          <w:i/>
          <w:u w:val="single"/>
        </w:rPr>
        <w:t>Project File/OtherResources/Drinking Water</w:t>
      </w:r>
      <w:r>
        <w:rPr>
          <w:rStyle w:val="DefaultParagraphFont"/>
          <w:rFonts w:ascii="Calibri" w:eastAsia="Calibri" w:hAnsi="Calibri" w:cs="Calibri"/>
          <w:i/>
        </w:rPr>
        <w:t>.</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No additional research or coordination is required as there are no drinking water sources within the project limits.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City of Waterville</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02/23/2016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Ohio Department of Natural Resources (ODNR) Scenic Rivers</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04/05/2016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Memorial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0.307</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0.540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Net Benefit</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06/01/2016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Maumee River</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04/05/2016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Former Waterville Public School Property (Planned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1.876</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Net Benefit</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06/01/2016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Columbian House (3 North River Road)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01/05/2016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Morehouse-Downs House (4 South River Rd)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01/05/2016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Waterville Gas &amp; Oil Co. (9-11 North River Rd)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Three recreational properties were identified within the proposed project area:</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Maumee River</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designated State Scenic River is administered and maintained by the Ohio Department of Natural Resources (ODNR) and provides recreational opportunities, such as canoeing, kayaking and fishing. No permanent restrictions to recreational activities that occur on or along the Maumee River within the proposed project area are anticipated. Temporary impacts include limiting small watercraft access and existing egress/ingress access at Memorial Park for safety purposes during certain stages of construction. Recreational activities that require ingress/egress access will be diverted to Waterworks Park (which has a boat ramp and parking), located approximately 0.5-mile upstream. Although navigational closures of the Maumee River are not anticipated, a temporary work pad/causeway will be placed in the waterway to facilitate construction activities. Based on the scope of the proposed project and type of work, there will be no adverse effects to the protected recreational activities, features, or attributes associated with the Maumee River.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Memorial Park</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xml:space="preserve">The park is owned and maintained by the City of Waterville and provides passive amenities, such as a memorial stone, grill, birdhouse, pet and concrete trash receptacles, and four benches. These park features will be removed to a safe storage location during construction activities and reinstalled upon completion of the proposed project. The park will be closed to public access for the duration of construction activities to facilitate construction equipment movement, provide direct access to the river, and to protect the public. Permanent (0.3072 acres) and temporary right-of-way (0.54 acres) impacts will be required, which includes existing public road right-of-way (Water Street) along the west side of the park. The permanent right-of-way will be required from along the north side of the park adjacent to the existing bridge and Mechanic Street. The temporary right-of-way is needed for the duration of construction in order to provide a staging and storage area for construction equipment and direct access to the Maumee River to launch the in-stream work pad.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u w:val="single"/>
        </w:rPr>
        <w:t>Former Waterville Public School Property</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property is owned and maintained by the City of Waterville and is identified as a planned park in the city's 2006 Downtown Revitalization Plan and 2012 Comprehensive Plan to enhance access to the Maumee River and return the property to its original function as a public square. A portion of the property was re-zoned from the east wall of the school building to the river as the Parks &amp; Green Space District in 2014. The existing property comprises 1.876 acres, of which the north side of the property currently functions as public road right-of-way. Although not originally platted as public right-of-way, it is owned and maintained by the city. To facilitate construction activities, the property will be used as a staging and storage area for construction equipment.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part of previous and on-going project development, ODOT and the City of Waterville partnered to ensure the proposed project design complements existing and planned recreational activities. Furthermore, the proposed project will assist in the implementation of the City of Waterville's revitalization plans. Based upon the measures to minimize harm and assessment of impacts, the proposed project will result in a "Net Benefit" by enhancing recreational opportunities through the merger of Memorial Park and the former Waterville School Property, and providing better access to river recreation and better connect to existing and planned walkways/trails.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Historic Sites</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Results of the Phase I History/Architecture and Archaeological Surveys were coordinated with the State Historic Preservation Office (SHPO) on October 27, 2014. In accordance with 36 CFR Part 800.4(d)(1), the Cultural Resources Staff of ODOT-OES determined "No Historic Properties Affected" was the appropriate finding based on the following:Two individually-listed NRHP properties (Columbian House [3 North River Road] and the Morehouse-Downs House [4 South River Road]) are located outside the APE for the preferred alternative. No land from these sites will be required and their contributing features will not be altered or removed by the proposed undertakingThe Waterville Gas &amp; Oil Company building located at 9-11 North River Road (LUC-00838-18) is individually eligible for listing in the NRHP, but is located outside the APE of the preferred alternative, and no impacts to the property are anticipated</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The contractor will be required to closely coordinate the construction schedule with ODOT, the ODNR Scenic River coordinator, ODNR Parks and Recreation, and the City of Waterville.  Christina Kuchle, Northwest Region-Scenic River Manager, office: (419) 429-8306, mobile: (419) 348-5073, Christina.kuchle@dnr.state.oh.us and the City of Waterville contact is James Bagdonas, Municipal Administrator, office: (419) 878-8100, jbagdonas@waterville.org and the ODOT District Environmental coordinator is Stacy Schimmoeller office: (419) 373-4319 or stacy.schimmoeller@dot.ohio.gov. The ODNR Division of Parks and Recreation contact person is Gary Obermiller at 614-265-6561 or ohiostateparks@dnr.state.oh.us</w:t>
      </w:r>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The contractor will notify ODOT, ODNR Scenic River coordinator, ODNR Parks and Recreation section, and City of Waterville 18 days prior to beginning construction so that the public can be informed 15 days prior to construction.</w:t>
      </w: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2. For watercraft safety, the contractor will coordinate with ODNR Division of Watercraft the installation of the appropriate warning signs and buoys in the water directing hand-powered watercraft to Waterworks Park, upstream of Memorial Park. The ODNR Division of Watercraft contact person is Chad German at 419-836-6003 or maumeebay.watercraft@dnr.state.oh.us </w:t>
      </w:r>
    </w:p>
    <w:p>
      <w:pPr>
        <w:pStyle w:val="BodyText10"/>
        <w:keepNext/>
        <w:rPr>
          <w:rStyle w:val="DefaultParagraphFont"/>
          <w:rFonts w:ascii="Calibri" w:eastAsia="Calibri" w:hAnsi="Calibri" w:cs="Calibri"/>
        </w:rPr>
      </w:pPr>
      <w:r>
        <w:rPr>
          <w:rStyle w:val="DefaultParagraphFont"/>
          <w:rFonts w:ascii="Calibri" w:eastAsia="Calibri" w:hAnsi="Calibri" w:cs="Calibri"/>
        </w:rPr>
        <w:t>3. Advance notice of the project's construction schedule and potential for users to encounter partial closures at the bridge (for the causeway and demolition) will be provided by the contractor no less than 48 hours prior to construction activities.  Notices shall be posted in an area that can be seen by users of the Maumee River, both upstream and downstream, and on the ODNR and ODOT website.</w:t>
      </w:r>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The contractor shall notify the ODOT District Environmental coordinator Stacy Schimmoeller at (419) 373-4319 or stacy.schimmoeller@dot.ohio.gov.; the ODNR Northwest Region-Scenic River Manager Christina Kuchle at (419) 429-8306 or mobile (419) 348-5073 or Christina.kuchle@dnr.state.oh.us; the City of Waterville administrator James Bagdonas at (419) 878-8100 or jbagdonas@waterville.org; and the ODNR Division of Parks and Recreation Chief Gary Obermiller at 614-265-6561 or ohiostateparks@dnr.state.oh.us</w:t>
      </w:r>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 xml:space="preserve">4. ODOT, the contractor, and the City of Waterville will cooperate prior to construction to remove for safekeeping the existing benches, memorial stone, grill, birdhouse, mutt receptacle, concrete trash receptacle, and flag pole associated with Memorial Park.  These items shall be reinstalled following completion of construction in a manner as good or better than which they existed prior to construction. </w:t>
      </w:r>
    </w:p>
    <w:p>
      <w:pPr>
        <w:pStyle w:val="BodyText10"/>
        <w:keepNext/>
        <w:rPr>
          <w:rStyle w:val="DefaultParagraphFont"/>
          <w:rFonts w:ascii="Calibri" w:eastAsia="Calibri" w:hAnsi="Calibri" w:cs="Calibri"/>
        </w:rPr>
      </w:pPr>
      <w:r>
        <w:rPr>
          <w:rStyle w:val="DefaultParagraphFont"/>
          <w:rFonts w:ascii="Calibri" w:eastAsia="Calibri" w:hAnsi="Calibri" w:cs="Calibri"/>
        </w:rPr>
        <w:t>5. All areas of Memorial Park disturbed by construction activities will be restored to a condition at least as good as or better than that which existed prior to the proposed project.</w:t>
      </w:r>
    </w:p>
    <w:p>
      <w:pPr>
        <w:pStyle w:val="BodyText10"/>
        <w:keepNext/>
        <w:rPr>
          <w:rStyle w:val="DefaultParagraphFont"/>
          <w:rFonts w:ascii="Calibri" w:eastAsia="Calibri" w:hAnsi="Calibri" w:cs="Calibri"/>
        </w:rPr>
      </w:pPr>
      <w:r>
        <w:rPr>
          <w:rStyle w:val="DefaultParagraphFont"/>
          <w:rFonts w:ascii="Calibri" w:eastAsia="Calibri" w:hAnsi="Calibri" w:cs="Calibri"/>
        </w:rPr>
        <w:t>6. ODOT and the City of Waterville will coordinate for the demolition of the former Waterville Public School building prior to start of construction activities.</w:t>
      </w:r>
    </w:p>
    <w:p>
      <w:pPr>
        <w:pStyle w:val="BodyText10"/>
        <w:keepNext/>
        <w:rPr>
          <w:rStyle w:val="DefaultParagraphFont"/>
          <w:rFonts w:ascii="Calibri" w:eastAsia="Calibri" w:hAnsi="Calibri" w:cs="Calibri"/>
        </w:rPr>
      </w:pPr>
      <w:r>
        <w:rPr>
          <w:rStyle w:val="DefaultParagraphFont"/>
          <w:rFonts w:ascii="Calibri" w:eastAsia="Calibri" w:hAnsi="Calibri" w:cs="Calibri"/>
        </w:rPr>
        <w:t>7. Following completion of construction, ODOT and the City of Waterville will coordinate to ensure, the former Waterville Public School property will be integrated with Memorial Park.</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Fencing will be installed around Memorial Park and the former Waterville Public School property, except for the boundary along the river.  This fencing can be the same fencing used to secure the equipment and materials as needed, so long as it is along the property boundary.</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not impact existing properties that received Land and Water Conservation Funds. Review of the LWCF Grant Listing did not indicate existing properties received LWCF Funds. Therefore, no further Section 6(f) coordination is required.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as planned, is designed to comply with local comprehensive plans and development patterns within the region. The proposed bridge will provide a pedestrian/bike facility which complies with both the City of Waterville Comprehensive Plan and the TMACOG 2045 Long Range Regional Transportation Plan for non-motorized projects. </w:t>
      </w:r>
    </w:p>
    <w:p>
      <w:pPr>
        <w:pStyle w:val="Normal13"/>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The Waterville Comprehensive Plan can be found in the Project File under General/PDP/Transportation Plan or Visioning Documents.pdf</w:t>
      </w:r>
    </w:p>
    <w:p>
      <w:pPr>
        <w:pStyle w:val="Normal13"/>
        <w:numPr>
          <w:ilvl w:val="0"/>
          <w:numId w:val="26"/>
        </w:numPr>
        <w:spacing w:after="280" w:afterAutospacing="1"/>
        <w:rPr>
          <w:rStyle w:val="DefaultParagraphFont"/>
          <w:rFonts w:ascii="Calibri" w:eastAsia="Calibri" w:hAnsi="Calibri" w:cs="Calibri"/>
        </w:rPr>
      </w:pPr>
      <w:r>
        <w:rPr>
          <w:rStyle w:val="DefaultParagraphFont"/>
          <w:rFonts w:ascii="Calibri" w:eastAsia="Calibri" w:hAnsi="Calibri" w:cs="Calibri"/>
        </w:rPr>
        <w:t>The Regional Transportation Plan and the City of Waterville's Zoning Map can be found in the Project File under Community Impacts/Project Information/Regional Development Plan.pdf and Existing Land Use or Zoning Map.pdf</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enhance community cohesion by providing a pedestrian/bike facility across the Maumee River to provide better access and improve safety for motorized and non-motorized traffic. Providing a pedestrian/bike facility complies with the City of Waterville Comprehensive Plan and TMACOG's Regional 2045 Long Range Transportation Plan as the SR 64 corridor is a designated non-motorized project that will provide connectivity to several bike routes in the region. Furthermore, the former Waterville Public School property is designated as a future parks &amp; green space in the Comprehensive Plan. The demolition of the former elementary school as part of this project will provide a first step desired by the community to clear the site for future park area development once the bridge construction project is completed.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bridge will be constructed on essentially existing alignment, and no additional development is anticipated to occur as a result of the proposed project. The proposed project is not anticipated to result in negative cumulative impacts on the local or regional land use patterns. The proposed project will in fact provide compliance to the local and regional plans. In addition, the removal of the vacant elementary school will assist the City of Waterville in developing the former school site into a park &amp; green space area once the construction of the bridge is completed. The provision of a safe and efficient pedestrian/bike facility on the new bridge will provide opportunities for increased non-motorized traffic which will reduce vehicle trips and thereby provided positive cumulative environmental impacts by reducing emissions, fuel consumption, and congestion.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No substantial impacts are anticipated, as the current bridge will remain open during the majority of construction period of the new bridge so that traffic, utilities, school traffic, pedestrian/bike traffic, emergency services, religious institutions, and police services can be maintained during the construction to allow for minimal impacts on the community. Once the new bridge is open and operational, the enhance river crossing will provide positive benefits to the health of the community by providing a new pedestrian/bike facility across the river; provide safe &amp; efficient travel on a bridge constructed to current design standards; and provide more efficient intersections that will reduce congestion and improve traffic flow.</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displace one business and one residential property on the City of Waterville side where the re-aligned approach to the proposed bridge will be constructed from the intersection of North River Road and SR 64. No existing institutions or farms will be displaced. The Ohio Department of Transportation (ODOT) has been and will continue to be in discussions with the business and residential property owner to assist in coordinating project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50" w:name="_Toc256000049"/>
      <w:r>
        <w:rPr>
          <w:rStyle w:val="DefaultParagraphFont"/>
          <w:rFonts w:ascii="Calibri" w:eastAsia="Calibri" w:hAnsi="Calibri" w:cs="Calibri"/>
        </w:rPr>
        <w:t>Environmental Justice</w:t>
      </w:r>
      <w:bookmarkEnd w:id="50"/>
    </w:p>
    <w:p>
      <w:pPr>
        <w:pStyle w:val="Heading312"/>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390950089021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4.36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0.00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390950089022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23.69</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1.24</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391730212001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10.54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1.55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The USEPA EJView on-line tool was utilized to obtain minority and low-income population percentages within the proposed project area. The proposed project area is located in three (3) CensusBlock Groups. The minority populations range from 4.36% to 23.69% and low-income populations range from 0% to 1.55.</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haveno disproportionately high and adverse impacts to minority or low-income populationsbased upon census mapping.  No EnvironmentalJustice issues were raised as a result of public involvement activitiesconducted as part of the proposed project. Therefore, in accordance with the protections of Executive Order 12898and FHWA Order 6640.23A, no further Environmental Justice analysis isrequired.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Times New Roman" w:eastAsia="Times New Roman" w:hAnsi="Times New Roman" w:cs="Times New Roman"/>
          <w:sz w:val="20"/>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2" w:name="_Toc256000051"/>
      <w:r>
        <w:rPr>
          <w:rStyle w:val="DefaultParagraphFont"/>
          <w:rFonts w:ascii="Calibri" w:eastAsia="Calibri" w:hAnsi="Calibri" w:cs="Calibri"/>
        </w:rPr>
        <w:t>Public Involvement</w:t>
      </w:r>
      <w:bookmarkEnd w:id="52"/>
    </w:p>
    <w:p>
      <w:pPr>
        <w:pStyle w:val="Heading313"/>
        <w:keepNext/>
        <w:rPr>
          <w:rStyle w:val="DefaultParagraphFont"/>
          <w:rFonts w:ascii="Calibri" w:eastAsia="Calibri" w:hAnsi="Calibri" w:cs="Calibri"/>
        </w:rPr>
      </w:pPr>
      <w:bookmarkStart w:id="53" w:name="_Toc256000052"/>
      <w:r>
        <w:rPr>
          <w:rStyle w:val="DefaultParagraphFont"/>
          <w:rFonts w:ascii="Calibri" w:eastAsia="Calibri" w:hAnsi="Calibri" w:cs="Calibri"/>
        </w:rPr>
        <w:t>Public Involvement</w:t>
      </w:r>
      <w:bookmarkEnd w:id="5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 Monday March 10, 2014, ODOT sent a public notification (Press Release) for the public meeting to be held Thursday March 27, 2014.  Additionally, notifications were sent to property owners, residents, businesses, and public officials. The public meeting notification was also posted on the ODOT and City of Waterville web page.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Friday March 14, 2014, the </w:t>
      </w:r>
      <w:r>
        <w:rPr>
          <w:rStyle w:val="DefaultParagraphFont"/>
          <w:rFonts w:ascii="Calibri" w:eastAsia="Calibri" w:hAnsi="Calibri" w:cs="Calibri"/>
          <w:i/>
        </w:rPr>
        <w:t>Sentinel-Tribune</w:t>
      </w:r>
      <w:r>
        <w:rPr>
          <w:rStyle w:val="DefaultParagraphFont"/>
          <w:rFonts w:ascii="Calibri" w:eastAsia="Calibri" w:hAnsi="Calibri" w:cs="Calibri"/>
        </w:rPr>
        <w:t xml:space="preserve"> posted an article regarding the public meeting.</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 March 27, 2014, WTVG Channel 13 News provided information about the public meeting online as well as through a newscast.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 March 27, 2014, WTOL Channel 11 News provided an online story of the public meeting and how to provide comments on the project.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 March 27, 2014, a public meeting was held at the Waterville Primary School at 457 Sycamore Lane in Waterville, to provide project information and solicit public input. A total of 233 attendees signed into the meeting. A total of 141 comment sheets were submitted over the two-week comment period from March 27 to April 10, 2014.</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March 28, 2014, </w:t>
      </w:r>
      <w:r>
        <w:rPr>
          <w:rStyle w:val="DefaultParagraphFont"/>
          <w:rFonts w:ascii="Calibri" w:eastAsia="Calibri" w:hAnsi="Calibri" w:cs="Calibri"/>
          <w:i/>
        </w:rPr>
        <w:t>The Blade</w:t>
      </w:r>
      <w:r>
        <w:rPr>
          <w:rStyle w:val="DefaultParagraphFont"/>
          <w:rFonts w:ascii="Calibri" w:eastAsia="Calibri" w:hAnsi="Calibri" w:cs="Calibri"/>
        </w:rPr>
        <w:t xml:space="preserve"> posted an article regarding the public meeting.</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March 28, 2014, the </w:t>
      </w:r>
      <w:r>
        <w:rPr>
          <w:rStyle w:val="DefaultParagraphFont"/>
          <w:rFonts w:ascii="Calibri" w:eastAsia="Calibri" w:hAnsi="Calibri" w:cs="Calibri"/>
          <w:i/>
        </w:rPr>
        <w:t>Sentinel-Tribune</w:t>
      </w:r>
      <w:r>
        <w:rPr>
          <w:rStyle w:val="DefaultParagraphFont"/>
          <w:rFonts w:ascii="Calibri" w:eastAsia="Calibri" w:hAnsi="Calibri" w:cs="Calibri"/>
        </w:rPr>
        <w:t xml:space="preserve"> posted an article regarding the public meeting.</w:t>
      </w:r>
    </w:p>
    <w:p>
      <w:pPr>
        <w:pStyle w:val="Normal15"/>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All public involvement documentation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review of the sign-in sheets from the meeting reveals that a total of 233 officially signed into the meeting, however a visual assessment of the meeting seems to indicate there were more in attendance. A total of 141 comment sheets were submitted over the two-week period from March 27 to April 10, 2014. A summary of the comments submitted is provided in tabular form herein, as well as a copy of each original comment sheet that was submitted. The tabular summary of comments also contains a column of data regarding how responses to each comment submitted were handled (ODOT provided responses to comments). A pie chart located on page 1 of the Executive Summary of the Public Meeting Summary Document (located in the Project File at </w:t>
      </w:r>
      <w:r>
        <w:rPr>
          <w:rStyle w:val="DefaultParagraphFont"/>
          <w:rFonts w:ascii="Calibri" w:eastAsia="Calibri" w:hAnsi="Calibri" w:cs="Calibri"/>
          <w:i/>
        </w:rPr>
        <w:t>Public Involvement/Project Information/Public Meeting Summary.pdf</w:t>
      </w:r>
      <w:r>
        <w:rPr>
          <w:rStyle w:val="DefaultParagraphFont"/>
          <w:rFonts w:ascii="Calibri" w:eastAsia="Calibri" w:hAnsi="Calibri" w:cs="Calibri"/>
        </w:rPr>
        <w:t>) provides a summary of which alternatives were mentioned in the comments, which shows a total of 43% desired either Alt. 1/Alt. 1 or 2/Alt. 2; and 39% listed Alt. 2 or 3/Alt. 3.</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Several of the more common comments made on the comment sheets included the following:</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Concerns about extended period of river crossing closure and long detour involved</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Impacts to historic buildings if Alt-3 selected due to increased truck traffic on Farnsworth Rd.</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Desire to use old school property as future park/community square instead of a bridge</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Several comments on whether or not existing bridge even needs replaced yet</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Issues raised about roundabout and if it could accommodate very large farm equipment</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Concerns that roundabout would be confusing to drivers</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Long detour would negatively impact Anthony Wayne School District transportation</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Alt-3 would divide Waterville in half since Farnsworth Rd. would be heavy traffic</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Several comments Alt-3 would benefit businesses since more visible to traffic</w:t>
      </w:r>
    </w:p>
    <w:p>
      <w:pPr>
        <w:pStyle w:val="Normal15"/>
        <w:numPr>
          <w:ilvl w:val="0"/>
          <w:numId w:val="28"/>
        </w:numPr>
        <w:spacing w:after="0" w:afterAutospacing="0"/>
        <w:rPr>
          <w:rStyle w:val="DefaultParagraphFont"/>
          <w:rFonts w:ascii="Calibri" w:eastAsia="Calibri" w:hAnsi="Calibri" w:cs="Calibri"/>
        </w:rPr>
      </w:pPr>
      <w:r>
        <w:rPr>
          <w:rStyle w:val="DefaultParagraphFont"/>
          <w:rFonts w:ascii="Calibri" w:eastAsia="Calibri" w:hAnsi="Calibri" w:cs="Calibri"/>
        </w:rPr>
        <w:t>Desire to make bridge aesthetic with Waterville themes</w:t>
      </w:r>
    </w:p>
    <w:p>
      <w:pPr>
        <w:pStyle w:val="Normal15"/>
        <w:numPr>
          <w:ilvl w:val="0"/>
          <w:numId w:val="28"/>
        </w:numPr>
        <w:spacing w:after="280" w:afterAutospacing="1"/>
        <w:rPr>
          <w:rStyle w:val="DefaultParagraphFont"/>
          <w:rFonts w:ascii="Calibri" w:eastAsia="Calibri" w:hAnsi="Calibri" w:cs="Calibri"/>
        </w:rPr>
      </w:pPr>
      <w:r>
        <w:rPr>
          <w:rStyle w:val="DefaultParagraphFont"/>
          <w:rFonts w:ascii="Calibri" w:eastAsia="Calibri" w:hAnsi="Calibri" w:cs="Calibri"/>
        </w:rPr>
        <w:t>Desire that bridge allows for good view of river while driving on it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ODOT provided feedback to all comments received if the commenter provided contact information. A summary of the responses provided by ODOT to commenters included:</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The commenter was thanked for submitting comments on the project</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A link was provided on an FHWA video on how roundabouts operate</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Indicated that the design phase of the project will try to incorporate comments and suggestions into the design as much as possible</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Provided contact information for ODOT if commenter had further questions on the project</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Discussed roundabout concerns regarding trucks and farm machinery passing through a roundabout for those that asked about this subject</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Discussed the reasons why ODOT is replacing the bridge for those commenters that inquired why it needed replaced</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Discussed the sidewalk and multi-use path (bike facility) that would be part of a new bridge for those than inquired about the facility'</w:t>
      </w:r>
    </w:p>
    <w:p>
      <w:pPr>
        <w:pStyle w:val="Normal15"/>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Provided explanation on the cost of the new bridge for those that inquired</w:t>
      </w:r>
    </w:p>
    <w:p>
      <w:pPr>
        <w:pStyle w:val="Normal15"/>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Explained why a roundabout was recommended instead of an all-way stop and the benefits such provides in way of safety and efficiency</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All public involvement documentation can be found in the Project File under Public Involvement/Project 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4" w:name="_Toc256000053"/>
      <w:r>
        <w:rPr>
          <w:rStyle w:val="DefaultParagraphFont"/>
          <w:rFonts w:ascii="Calibri" w:eastAsia="Calibri" w:hAnsi="Calibri" w:cs="Calibri"/>
        </w:rPr>
        <w:t>Permits</w:t>
      </w:r>
      <w:bookmarkEnd w:id="54"/>
    </w:p>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Waterway Permits</w:t>
      </w:r>
      <w:bookmarkEnd w:id="5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A Section 404 Regional General Permit (RGP) PCN (Pre Construction Notification) and Individual Section 401 OEPA Water Quality Certification arerequired. ODOT is coordinating obtaining all permits prior to construction. Final mitigation for impacts to the Maumee River andwetlands has not been determined yet, but the final mitigation plan will needto be approved by agencies prior to construction.</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ODOT submitted a PCN for geotechnical drilling in the Maumee River and received a Section 404 NWP (Nationwide Permit) #6 on November 12, 2015.  ODOT also submitted a Scenic River Field Review Form to ODNR Scenic Rivers for coordination on the project.  Coordination was received from ODNR Scenic Rivers and the project was given waiver to drill in river after 10/31/15. The drilling took place in December 2015, and the USACE completion of activity form was signed and dated 1-25-2016 and returned to the ODOT District Environmental Coordinator.</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ODOT-OES Permit Determination was received on2/26/16.  The project will result in 75linear feet of permanent impacts to  the Maumee River and 0.3254 acres of permanentimpacts to wetlands.  There will be0.2933 acres of permanent impact to Category 3 wetlands.  Mitigation for stream and wetland impacts hasyet to be determined by ODOT.  It islikely they will use a "pooled mitigation site" for the river impacts.  Impacts to Category 2 wetlands will likely bemitigated by purchasing credits at a wetland mitigation bank that serves thiswatershed.  ODOT is currently exploringoptions on where impacts to Category 3 wetlands can be mitigated.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Environmental Commitments, Waterway Permits</w:t>
      </w:r>
      <w:bookmarkEnd w:id="56"/>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wetlands and the Maumee River which shall be attached to the plans as Special Provisions. No work within wetlands and/or below the Ordinary High Water Mark (OHWM) shall take place until the proper permit is obtained by ODOT. All conditions of the permit shall be followed throughout construction by the contractor. </w:t>
      </w:r>
    </w:p>
    <w:p>
      <w:pPr>
        <w:pStyle w:val="BodyText15"/>
        <w:keepNext/>
        <w:rPr>
          <w:rStyle w:val="DefaultParagraphFont"/>
          <w:rFonts w:ascii="Calibri" w:eastAsia="Calibri" w:hAnsi="Calibri" w:cs="Calibri"/>
        </w:rPr>
      </w:pPr>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Storm Water Permits</w:t>
      </w:r>
      <w:bookmarkEnd w:id="5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require a National Pollutant Discharge EliminationSystem (NPDES) permit since the earth disturbed area is greater than one acre.  An NOI will be submitted by ODOT to the OEPA priorto plan file.  In accordance with ODOT Supplemental Specification 832, aStorm Water Pollution Prevention Plan (SWPPP) and an Erosion Control Plan will be developed by thecontractor and a NPDES permit will be finalized/acquired by the contractorprior starting any earth disturbing 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Storm Water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ODOT and the contractor shall ensure that an National Pollution Discharge Elimination System (NPDES) permit shall be acquired prior to the start of construction. </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Floodplains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Following a review of the current FEMA Flood Insurance Rate Maps (FIRM) by The Mannik &amp; Smith Group, Inc., the proposed project area is partially located in aregulated floodplain based on the following panels:</w:t>
      </w:r>
      <w:r>
        <w:rPr>
          <w:rStyle w:val="DefaultParagraphFont"/>
          <w:rFonts w:ascii="Calibri" w:eastAsia="Calibri" w:hAnsi="Calibri" w:cs="Calibri"/>
          <w:sz w:val="20"/>
          <w:shd w:val="solid" w:color="FFFFFF" w:fill="auto"/>
        </w:rPr>
        <w:t>Lucas County Panel #:39095C0240E</w:t>
      </w:r>
      <w:r>
        <w:rPr>
          <w:rStyle w:val="DefaultParagraphFont"/>
          <w:rFonts w:ascii="Calibri" w:eastAsia="Calibri" w:hAnsi="Calibri" w:cs="Calibri"/>
          <w:sz w:val="20"/>
          <w:shd w:val="solid" w:color="FFFFFF" w:fill="auto"/>
        </w:rPr>
        <w:t>Lucas County Panel #:39095C0405E</w:t>
      </w:r>
      <w:r>
        <w:rPr>
          <w:rStyle w:val="DefaultParagraphFont"/>
          <w:rFonts w:ascii="Calibri" w:eastAsia="Calibri" w:hAnsi="Calibri" w:cs="Calibri"/>
          <w:sz w:val="20"/>
          <w:shd w:val="solid" w:color="FFFFFF" w:fill="auto"/>
        </w:rPr>
        <w:t>Wood County Panel #:39173C0150D</w:t>
      </w:r>
      <w:r>
        <w:rPr>
          <w:rStyle w:val="DefaultParagraphFont"/>
          <w:rFonts w:ascii="Calibri" w:eastAsia="Calibri" w:hAnsi="Calibri" w:cs="Calibri"/>
          <w:sz w:val="20"/>
          <w:shd w:val="solid" w:color="FFFFFF" w:fill="auto"/>
        </w:rPr>
        <w:t>Wood County Panel #:39173C0015D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sz w:val="20"/>
          <w:shd w:val="solid" w:color="FFFFFF" w:fill="auto"/>
        </w:rPr>
        <w:t>Coordination with the Local Floodplain Administrators was initiated for the proposed project on 1-14-2016, and will continue during the design process as detailed plans progress. The City of Waterville floodplain coordinator indicated all the city standards mirror the Federal standards and no coordination is needed as long as those standards are followed. The Lucas County flood plain coordinator indicated they do not have jurisdiction over the bridge and deferred to City of Waterville. The Wood County flood plain coordinator provided their standards (which have been uploaded as an attachment to this CE document), and if there are further questions feel free to contact them.</w:t>
      </w:r>
      <w:r>
        <w:rPr>
          <w:rStyle w:val="DefaultParagraphFont"/>
          <w:rFonts w:ascii="Calibri" w:eastAsia="Calibri" w:hAnsi="Calibri" w:cs="Calibri"/>
          <w:sz w:val="20"/>
          <w:shd w:val="solid" w:color="FFFFFF" w:fill="auto"/>
        </w:rPr>
        <w:t xml:space="preserve">The panels can be found in the project file under Permits/Floodplains/FEMA FIRM.pdf </w:t>
      </w:r>
      <w:r>
        <w:rPr>
          <w:rStyle w:val="DefaultParagraphFont"/>
          <w:rFonts w:ascii="Calibri" w:eastAsia="Calibri" w:hAnsi="Calibri" w:cs="Calibri"/>
          <w:sz w:val="20"/>
          <w:shd w:val="solid" w:color="FFFFFF" w:fill="auto"/>
        </w:rPr>
        <w:t>All correspondence can be found in the project file under Permits/Floodplains/Correspondence with Local Floodplain Administrator and Local Floodplain Administrator Response.pdf</w:t>
      </w:r>
      <w:r>
        <w:rPr>
          <w:rStyle w:val="DefaultParagraphFont"/>
          <w:rFonts w:ascii="Calibri" w:eastAsia="Calibri" w:hAnsi="Calibri" w:cs="Calibri"/>
          <w:sz w:val="15"/>
          <w:shd w:val="solid" w:color="FFFFFF" w:fill="auto"/>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Commitments, Floodplains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If required, ODOT shall ensure that a floodplain permit is acquired prior to construction.  </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Landfills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not have any impact on regulated land fills, and will not require any permits.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2" w:name="_Toc256000061"/>
      <w:r>
        <w:rPr>
          <w:rStyle w:val="DefaultParagraphFont"/>
          <w:rFonts w:ascii="Calibri" w:eastAsia="Calibri" w:hAnsi="Calibri" w:cs="Calibri"/>
        </w:rPr>
        <w:t>Environmental Commitments</w:t>
      </w:r>
      <w:bookmarkEnd w:id="62"/>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General, Maintenance of Traffic During Construction</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Meetings will be held with the City of Waterville, Wood County, ODOT, and the project team following the completion of Stage 2 plans and MOT plans to confirm impacts and notify appropriate public services and facilities prior to the start of construction. </w:t>
      </w:r>
    </w:p>
    <w:p>
      <w:pPr>
        <w:pStyle w:val="Normal17"/>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This includes the annual Roche de Boeuf Parade and Festival that occurs typically on the last Saturday in September.</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ESA</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A solid waste management plan note will be included in the plans for 37 North River Road requiring the contractor to dispose of any excavated soils as a solid waste in a licensed solid waste landfill.  The soils from 37 North River Road cannot be re-used on the project. </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 xml:space="preserve">Ecological, Agency Coordination </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ODOT shall work with ODNR Scenic Rivers to address their comments and concerns to the satisfaction of both agencies, and develop plan notes and/or special provisions to assure Scenic River's concerns are adequately implemented.  In accordance with ORC Section 1547.82, ODOT must receive approval form the Director of ODNR prior to the start of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No in-water work shall occur from April 15 to June 30 to reduce impacts to indigenous aquatic species and their habitat, including the western banded killifish (Fundulus diaphananus menona), a state endangered fish. </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6"/>
        <w:keepNext/>
        <w:rPr>
          <w:rStyle w:val="DefaultParagraphFont"/>
          <w:rFonts w:ascii="Calibri" w:eastAsia="Calibri" w:hAnsi="Calibri" w:cs="Calibri"/>
        </w:rPr>
      </w:pPr>
      <w:r>
        <w:rPr>
          <w:rStyle w:val="DefaultParagraphFont"/>
          <w:rFonts w:ascii="Calibri" w:eastAsia="Calibri" w:hAnsi="Calibri" w:cs="Calibri"/>
        </w:rPr>
        <w:t>4. The contractor shall notify the U.S. Coast Guard (USCG) Ninth District at least 30 days prior to the start of construction. Contact info: Scot Striffler, Bridge Project Manager, Ninth Coast Guard District PH: (216) 902-6087 FAX: (216) 902-6088 Scot.M.Striffler@USGS.MIL</w:t>
      </w:r>
    </w:p>
    <w:p>
      <w:pPr>
        <w:pStyle w:val="Normal17"/>
        <w:rPr>
          <w:rStyle w:val="DefaultParagraphFont"/>
          <w:rFonts w:ascii="Calibri" w:eastAsia="Calibri" w:hAnsi="Calibri" w:cs="Calibri"/>
        </w:rPr>
      </w:pPr>
      <w:r>
        <w:rPr>
          <w:rStyle w:val="DefaultParagraphFont"/>
          <w:rFonts w:ascii="Calibri" w:eastAsia="Calibri" w:hAnsi="Calibri" w:cs="Calibri"/>
        </w:rPr>
        <w:t>5. ODOT shall provide documentation required by the U.S. Coast Guard (USCG) once the bridge replacement is completed. Complete drawings are not required but a single page showing an overhead and side view of the bridge with clearance information from International Great Lakes Datum 1985/Low Water Datum (IGLD85/LWD) would be adequate for documentation for the USCG.</w:t>
      </w:r>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Section4f, Identified Section 4(f) Properties</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will be required to closely coordinate the construction schedule with ODOT, the ODNR Scenic River coordinator, ODNR Parks and Recreation, and the City of Waterville.  Christina Kuchle, Northwest Region-Scenic River Manager, office: (419) 429-8306, mobile: (419) 348-5073, Christina.kuchle@dnr.state.oh.us and the City of Waterville contact is James Bagdonas, Municipal Administrator, office: (419) 878-8100, jbagdonas@waterville.org and the ODOT District Environmental coordinator is Stacy Schimmoeller office: (419) 373-4319 or stacy.schimmoeller@dot.ohio.gov. The ODNR Division of Parks and Recreation contact person is Gary Obermiller at 614-265-6561 or ohiostateparks@dnr.state.oh.us</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The contractor will notify ODOT, ODNR Scenic River coordinator, ODNR Parks and Recreation section, and City of Waterville 18 days prior to beginning construction so that the public can be informed 15 days prior to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For watercraft safety, the contractor will coordinate with ODNR Division of Watercraft the installation of the appropriate warning signs and buoys in the water directing hand-powered watercraft to Waterworks Park, upstream of Memorial Park. The ODNR Division of Watercraft contact person is Chad German at 419-836-6003 or maumeebay.watercraft@dnr.state.oh.us </w:t>
      </w:r>
    </w:p>
    <w:p>
      <w:pPr>
        <w:pStyle w:val="BodyText16"/>
        <w:keepNext/>
        <w:rPr>
          <w:rStyle w:val="DefaultParagraphFont"/>
          <w:rFonts w:ascii="Calibri" w:eastAsia="Calibri" w:hAnsi="Calibri" w:cs="Calibri"/>
        </w:rPr>
      </w:pPr>
      <w:r>
        <w:rPr>
          <w:rStyle w:val="DefaultParagraphFont"/>
          <w:rFonts w:ascii="Calibri" w:eastAsia="Calibri" w:hAnsi="Calibri" w:cs="Calibri"/>
        </w:rPr>
        <w:t>3. Advance notice of the project's construction schedule and potential for users to encounter partial closures at the bridge (for the causeway and demolition) will be provided by the contractor no less than 48 hours prior to construction activities.  Notices shall be posted in an area that can be seen by users of the Maumee River, both upstream and downstream, and on the ODNR and ODOT website.</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The contractor shall notify the ODOT District Environmental coordinator Stacy Schimmoeller at (419) 373-4319 or stacy.schimmoeller@dot.ohio.gov.; the ODNR Northwest Region-Scenic River Manager Christina Kuchle at (419) 429-8306 or mobile (419) 348-5073 or Christina.kuchle@dnr.state.oh.us; the City of Waterville administrator James Bagdonas at (419) 878-8100 or jbagdonas@waterville.org; and the ODNR Division of Parks and Recreation Chief Gary Obermiller at 614-265-6561 or ohiostateparks@dnr.state.oh.us</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4. ODOT, the contractor, and the City of Waterville will cooperate prior to construction to remove for safekeeping the existing benches, memorial stone, grill, birdhouse, mutt receptacle, concrete trash receptacle, and flag pole associated with Memorial Park.  These items shall be reinstalled following completion of construction in a manner as good or better than which they existed prior to construction. </w:t>
      </w:r>
    </w:p>
    <w:p>
      <w:pPr>
        <w:pStyle w:val="BodyText16"/>
        <w:keepNext/>
        <w:rPr>
          <w:rStyle w:val="DefaultParagraphFont"/>
          <w:rFonts w:ascii="Calibri" w:eastAsia="Calibri" w:hAnsi="Calibri" w:cs="Calibri"/>
        </w:rPr>
      </w:pPr>
      <w:r>
        <w:rPr>
          <w:rStyle w:val="DefaultParagraphFont"/>
          <w:rFonts w:ascii="Calibri" w:eastAsia="Calibri" w:hAnsi="Calibri" w:cs="Calibri"/>
        </w:rPr>
        <w:t>5. All areas of Memorial Park disturbed by construction activities will be restored to a condition at least as good as or better than that which existed prior to the proposed project.</w:t>
      </w:r>
    </w:p>
    <w:p>
      <w:pPr>
        <w:pStyle w:val="BodyText16"/>
        <w:keepNext/>
        <w:rPr>
          <w:rStyle w:val="DefaultParagraphFont"/>
          <w:rFonts w:ascii="Calibri" w:eastAsia="Calibri" w:hAnsi="Calibri" w:cs="Calibri"/>
        </w:rPr>
      </w:pPr>
      <w:r>
        <w:rPr>
          <w:rStyle w:val="DefaultParagraphFont"/>
          <w:rFonts w:ascii="Calibri" w:eastAsia="Calibri" w:hAnsi="Calibri" w:cs="Calibri"/>
        </w:rPr>
        <w:t>6. ODOT and the City of Waterville will coordinate for the demolition of the former Waterville Public School building prior to start of construction activities.</w:t>
      </w:r>
    </w:p>
    <w:p>
      <w:pPr>
        <w:pStyle w:val="BodyText16"/>
        <w:keepNext/>
        <w:rPr>
          <w:rStyle w:val="DefaultParagraphFont"/>
          <w:rFonts w:ascii="Calibri" w:eastAsia="Calibri" w:hAnsi="Calibri" w:cs="Calibri"/>
        </w:rPr>
      </w:pPr>
      <w:r>
        <w:rPr>
          <w:rStyle w:val="DefaultParagraphFont"/>
          <w:rFonts w:ascii="Calibri" w:eastAsia="Calibri" w:hAnsi="Calibri" w:cs="Calibri"/>
        </w:rPr>
        <w:t>7. Following completion of construction, ODOT and the City of Waterville will coordinate to ensure, the former Waterville Public School property will be integrated with Memorial Park.</w:t>
      </w:r>
    </w:p>
    <w:p>
      <w:pPr>
        <w:pStyle w:val="Normal17"/>
        <w:rPr>
          <w:rStyle w:val="DefaultParagraphFont"/>
          <w:rFonts w:ascii="Calibri" w:eastAsia="Calibri" w:hAnsi="Calibri" w:cs="Calibri"/>
        </w:rPr>
      </w:pPr>
      <w:r>
        <w:rPr>
          <w:rStyle w:val="DefaultParagraphFont"/>
          <w:rFonts w:ascii="Calibri" w:eastAsia="Calibri" w:hAnsi="Calibri" w:cs="Calibri"/>
        </w:rPr>
        <w:t>8. Fencing will be installed around Memorial Park and the former Waterville Public School property, except for the boundary along the river.  This fencing can be the same fencing used to secure the equipment and materials as needed, so long as it is along the property boundary.</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Permits, Waterway Permits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project requires a waterway permit for work within wetlands and the Maumee River which shall be attached to the plans as Special Provisions. No work within wetlands and/or below the Ordinary High Water Mark (OHWM) shall take place until the proper permit is obtained by ODOT. All conditions of the permit shall be followed throughout construction by the contractor. </w:t>
      </w:r>
    </w:p>
    <w:p>
      <w:pPr>
        <w:pStyle w:val="BodyText16"/>
        <w:keepNext/>
        <w:rPr>
          <w:rStyle w:val="DefaultParagraphFont"/>
          <w:rFonts w:ascii="Calibri" w:eastAsia="Calibri" w:hAnsi="Calibri" w:cs="Calibri"/>
        </w:rPr>
      </w:pP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Permits, Storm Water Permits</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ODOT and the contractor shall ensure that an National Pollution Discharge Elimination System (NPDES) permit shall be acquired prior to the start of construction. </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Permits, Floodplains</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If required, ODOT shall ensure that a floodplain permit is acquired prior to construction.  </w:t>
      </w:r>
    </w:p>
    <w:p>
      <w:pPr>
        <w:pStyle w:val="Heading117"/>
        <w:keepNext/>
        <w:rPr>
          <w:rStyle w:val="DefaultParagraphFont"/>
          <w:rFonts w:ascii="Calibri" w:eastAsia="Calibri" w:hAnsi="Calibri" w:cs="Calibri"/>
        </w:rPr>
      </w:pPr>
      <w:bookmarkStart w:id="70" w:name="_Toc256000069"/>
      <w:r>
        <w:rPr>
          <w:rStyle w:val="DefaultParagraphFont"/>
          <w:rFonts w:ascii="Calibri" w:eastAsia="Calibri" w:hAnsi="Calibri" w:cs="Calibri"/>
        </w:rPr>
        <w:t>Preparers  &amp; Approvals</w:t>
      </w:r>
      <w:bookmarkEnd w:id="70"/>
    </w:p>
    <w:p>
      <w:pPr>
        <w:pStyle w:val="Heading316"/>
        <w:keepNext/>
        <w:rPr>
          <w:rStyle w:val="DefaultParagraphFont"/>
          <w:rFonts w:ascii="Calibri" w:eastAsia="Calibri" w:hAnsi="Calibri" w:cs="Calibri"/>
        </w:rPr>
      </w:pPr>
      <w:bookmarkStart w:id="71" w:name="_Toc256000070"/>
      <w:r>
        <w:rPr>
          <w:rStyle w:val="DefaultParagraphFont"/>
          <w:rFonts w:ascii="Calibri" w:eastAsia="Calibri" w:hAnsi="Calibri" w:cs="Calibri"/>
        </w:rPr>
        <w:t>Form Preparer(s)</w:t>
      </w:r>
      <w:bookmarkEnd w:id="7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Patrick Etchie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The Mannik AND Smith Group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1800 Indian Wood Circle, Maumee OH 43537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419-891-2222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petchie@manniksmithgroup.com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 xml:space="preserve">Jessica Stratigakos, </w:t>
            </w:r>
            <w:r>
              <w:rPr>
                <w:rStyle w:val="DefaultParagraphFont"/>
                <w:b w:val="0"/>
                <w:sz w:val="24"/>
                <w:szCs w:val="24"/>
                <w:lang w:val="en-US" w:eastAsia="en-US" w:bidi="ar-SA"/>
              </w:rPr>
              <w:t xml:space="preserve">Libby Rushley, </w:t>
            </w:r>
            <w:r>
              <w:rPr>
                <w:rStyle w:val="DefaultParagraphFont"/>
                <w:b w:val="0"/>
                <w:sz w:val="24"/>
                <w:szCs w:val="24"/>
                <w:lang w:val="en-US" w:eastAsia="en-US" w:bidi="ar-SA"/>
              </w:rPr>
              <w:t xml:space="preserve">Maura Johnson, </w:t>
            </w:r>
            <w:r>
              <w:rPr>
                <w:rStyle w:val="DefaultParagraphFont"/>
                <w:b w:val="0"/>
                <w:sz w:val="24"/>
                <w:szCs w:val="24"/>
                <w:lang w:val="en-US" w:eastAsia="en-US" w:bidi="ar-SA"/>
              </w:rPr>
              <w:t xml:space="preserve">Mike Lehman, </w:t>
            </w:r>
            <w:r>
              <w:rPr>
                <w:rStyle w:val="DefaultParagraphFont"/>
                <w:b w:val="0"/>
                <w:sz w:val="24"/>
                <w:szCs w:val="24"/>
                <w:lang w:val="en-US" w:eastAsia="en-US" w:bidi="ar-SA"/>
              </w:rPr>
              <w:t>R. christopher Homan</w:t>
            </w:r>
          </w:p>
        </w:tc>
      </w:tr>
    </w:tbl>
    <w:p>
      <w:pPr>
        <w:pStyle w:val="Heading316"/>
        <w:keepNext/>
        <w:rPr>
          <w:rStyle w:val="DefaultParagraphFont"/>
          <w:rFonts w:ascii="Calibri" w:eastAsia="Calibri" w:hAnsi="Calibri" w:cs="Calibri"/>
        </w:rPr>
      </w:pPr>
      <w:bookmarkStart w:id="72" w:name="_Toc256000071"/>
      <w:r>
        <w:rPr>
          <w:rStyle w:val="DefaultParagraphFont"/>
          <w:rFonts w:ascii="Calibri" w:eastAsia="Calibri" w:hAnsi="Calibri" w:cs="Calibri"/>
        </w:rPr>
        <w:t>Approvals &amp; Electronic Signatures</w:t>
      </w:r>
      <w:bookmarkEnd w:id="7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13,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3" w:name="_Toc256000072"/>
      <w:r>
        <w:rPr>
          <w:rStyle w:val="DefaultParagraphFont"/>
          <w:rFonts w:ascii="Calibri" w:eastAsia="Calibri" w:hAnsi="Calibri" w:cs="Calibri"/>
        </w:rPr>
        <w:t>Appendix</w:t>
      </w:r>
      <w:bookmarkEnd w:id="73"/>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Uploaded Files by Report Section</w:t>
      </w:r>
      <w:bookmarkEnd w:id="74"/>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Air</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PM2.5 Nonattainment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Ozone Nonattainment Area Map.pdf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Noise</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Approval_Noise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Section 4(f)</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Property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OWJ.pdf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OWJ_2.pdf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Programmatic Evaluation.pdf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General</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Detour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Detour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Map.bmp</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Bridge Preliminary Design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Known Utility Relocations.pdf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Signal Warrants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Roundabout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Transportation Plan or Visioning Documents.pdf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Initiation Package.pdf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Peer Review.pdf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Purpose and Need</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Bridge Condition Rating.pdf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Bridge Inventory Information.pdf</w:t>
      </w:r>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Alternatives</w:t>
      </w:r>
      <w:bookmarkEnd w:id="80"/>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Matrix.pdf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Alternatives Evaluation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Certified Traffic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Certified Traffic Review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Certified Traffic Review Comments_2.pdf</w:t>
      </w:r>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ESA</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Review Comments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Cultural Resources</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Scoping Guidance.pdf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SHPO - NHPA.pdf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SHPO Concurrence - NHPA.pdf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Review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Archaeology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Consulting Party Request Acknowledgement.pdf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Consulting Party Application.pdf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Ecological</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National Wetlands Mapping.gif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Natural Heritage Database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Secondary Source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2 or 3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Scenic Rivers Stage 1 Plan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 - Scenic Rivers.pdf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Mussel Survey Required.pdf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Jurisdictional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ODNR Scenic River Comments.doc</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Other Resources</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Well Log and Drilling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 Census Urbanized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USDA Urban-Built Up Area Soils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Log Data.pdf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Community Impacts</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Regional Development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Existing Land Use or Zoning Map.pdf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Environmental Justice</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Mapping_Low Income.gif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Mapping_Minority.gif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Public Involvement</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Notification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Website Posting.PNG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Summary.pdf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Press Release-2.pdf</w:t>
      </w:r>
    </w:p>
    <w:p>
      <w:pPr>
        <w:pStyle w:val="Heading317"/>
        <w:keepNext/>
        <w:rPr>
          <w:rStyle w:val="DefaultParagraphFont"/>
          <w:rFonts w:ascii="Calibri" w:eastAsia="Calibri" w:hAnsi="Calibri" w:cs="Calibri"/>
        </w:rPr>
      </w:pPr>
      <w:bookmarkStart w:id="88" w:name="_Toc256000087"/>
      <w:r>
        <w:rPr>
          <w:rStyle w:val="DefaultParagraphFont"/>
          <w:rFonts w:ascii="Calibri" w:eastAsia="Calibri" w:hAnsi="Calibri" w:cs="Calibri"/>
        </w:rPr>
        <w:t>Permits</w:t>
      </w:r>
      <w:bookmarkEnd w:id="88"/>
    </w:p>
    <w:p>
      <w:pPr>
        <w:pStyle w:val="BodyTextIndent16"/>
        <w:keepNext/>
        <w:rPr>
          <w:rStyle w:val="DefaultParagraphFont"/>
          <w:rFonts w:ascii="Calibri" w:eastAsia="Calibri" w:hAnsi="Calibri" w:cs="Calibri"/>
        </w:rPr>
      </w:pPr>
      <w:r>
        <w:rPr>
          <w:rStyle w:val="DefaultParagraphFont"/>
          <w:rFonts w:ascii="Calibri" w:eastAsia="Calibri" w:hAnsi="Calibri" w:cs="Calibri"/>
        </w:rPr>
        <w:t>USCG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Wood County Flood Regulations.pdf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 - Borings.pdf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Request for D4-D5 Exemption.pdf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NWP 6 with Special Provisions.pdf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Mapping_2.pdf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78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78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D2</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92088 WOO/LUC SR 64 12.03/0.00 Bridge</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16,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2016-06-16T04:00:00+00:00</DateCompleted>
    <Internal_x0020_Only xmlns="df873bd8-8520-468a-8ecb-74db49e47217">No</Internal_x0020_Only>
    <FID xmlns="df873bd8-8520-468a-8ecb-74db49e47217">6211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640C4EF-36EE-4DA9-B144-484594E36D3C}"/>
</file>

<file path=customXml/itemProps2.xml><?xml version="1.0" encoding="utf-8"?>
<ds:datastoreItem xmlns:ds="http://schemas.openxmlformats.org/officeDocument/2006/customXml" ds:itemID="{203A2669-2B41-4F90-B45D-9151BD27F68A}"/>
</file>

<file path=customXml/itemProps3.xml><?xml version="1.0" encoding="utf-8"?>
<ds:datastoreItem xmlns:ds="http://schemas.openxmlformats.org/officeDocument/2006/customXml" ds:itemID="{053B7B62-2EB8-407A-A93E-CCF77778E17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