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US 20 0.00 Resurf PID 92127</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15,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16</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92127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is located within Richfield Township, Lucas County, Ohio. The proposed work includes the resurfacing of US-20 from the Fulton-Lucas County Line to King Road. Storm sewers that are parallel to US-20 will be repaired or replaced. Bridge deck and culvert replacements will occur near Washburn Road. Turn lanes at Crissey and Herr Roads are also proposed. Additional right of way is needed at these turn lane locations.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15,32</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Encroachment Within a Special Flood Hazard Area (SFHA)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02/13/2015</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04/29/2015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Access to adjacent properties will be maintained during construction by the contractor and ODOT.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the project engineer a minimum of 18 days prior to beginning work, any major disruptive, time delaying traffic control changes, or detours during construction. Upon receipt of notice from the contractor, ODOT will notify affected agencies including media outlets, local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 by the contractor and ODOT.</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If required by local ordinance, a construction noise plan note will be developed and implemented.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0"/>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Bandings turtle and Ohio threatened spotted turtle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9. Due to the location of the project within the globally rare Oak Openings region, there shall be no earth disturbance from LUC-120-11.2 to LUC-20-5.1.  No work shall be done off the existing pavement and care shall be taken to not disturb the existing vegetation in this area. </w:t>
      </w:r>
    </w:p>
    <w:p>
      <w:pPr>
        <w:pStyle w:val="BodyText0"/>
        <w:keepNext/>
        <w:rPr>
          <w:rStyle w:val="DefaultParagraphFont"/>
          <w:rFonts w:ascii="Calibri" w:eastAsia="Calibri" w:hAnsi="Calibri" w:cs="Calibri"/>
        </w:rPr>
      </w:pPr>
      <w:r>
        <w:rPr>
          <w:rStyle w:val="DefaultParagraphFont"/>
          <w:rFonts w:ascii="Calibri" w:eastAsia="Calibri" w:hAnsi="Calibri" w:cs="Calibri"/>
        </w:rPr>
        <w:t>10. This project is located in or near the source of public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Ohio EPA Environmental Response and Revitalization (419-373-3031 or 800-282-9378) for cleanup of the spill.</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Emergency Contact Information</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Spuyten Duyval Golf Club </w:t>
        <w:tab/>
        <w:t>Between Crissey Rd and Murd Rd</w:t>
        <w:tab/>
        <w:t xml:space="preserve">                         419-829-2891</w:t>
      </w:r>
    </w:p>
    <w:p>
      <w:pPr>
        <w:pStyle w:val="BodyText0"/>
        <w:keepNext/>
        <w:rPr>
          <w:rStyle w:val="DefaultParagraphFont"/>
          <w:rFonts w:ascii="Calibri" w:eastAsia="Calibri" w:hAnsi="Calibri" w:cs="Calibri"/>
        </w:rPr>
      </w:pPr>
      <w:r>
        <w:rPr>
          <w:rStyle w:val="DefaultParagraphFont"/>
          <w:rFonts w:ascii="Calibri" w:eastAsia="Calibri" w:hAnsi="Calibri" w:cs="Calibri"/>
        </w:rPr>
        <w:t>The Roadhouse</w:t>
        <w:tab/>
        <w:t xml:space="preserve">           Between N Raab Rd and Richfield Center Rd</w:t>
        <w:tab/>
        <w:t xml:space="preserve">         419-829-2223</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Access to adjacent properties will be maintained during construction by the contractor and ODOT.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the project engineer a minimum of 18 days prior to beginning work, any major disruptive, time delaying traffic control changes, or detours during construction. Upon receipt of notice from the contractor, ODOT will notify affected agencies including media outlets, local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for any local special events or festivals using appropriate signage by the contractor and ODOT.</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If required by local ordinance, a construction noise plan note will be developed and implemented.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specifications set forth in the most current version of ODOT's Construction and Material Specifications, Location and Design Manual and Standard Drawings will be used to ensure adequate erosion and sediment control during construction.  Disturbed areas will be reseeded.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any tree need to be cut outside the construction limits shown on the plans, approval must be given by the District Environmental Coordinator (DEC) prior to tree cutting. Notice must be given to the DEC a minimum of 2 weeks prior to requested tree removal.  There is no guarantee that tree clearing above what is shown in the plans will be authorized.  </w:t>
      </w:r>
    </w:p>
    <w:p>
      <w:pPr>
        <w:pStyle w:val="BodyText1"/>
        <w:keepNext/>
        <w:rPr>
          <w:rStyle w:val="DefaultParagraphFont"/>
          <w:rFonts w:ascii="Calibri" w:eastAsia="Calibri" w:hAnsi="Calibri" w:cs="Calibri"/>
        </w:rPr>
      </w:pPr>
      <w:r>
        <w:rPr>
          <w:rStyle w:val="DefaultParagraphFont"/>
          <w:rFonts w:ascii="Calibri" w:eastAsia="Calibri" w:hAnsi="Calibri" w:cs="Calibri"/>
        </w:rPr>
        <w:t>7.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Bandings turtle and Ohio threatened spotted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9. Due to the location of the project within the globally rare Oak Openings region, there shall be no earth disturbance from LUC-120-11.2 to LUC-20-5.1.  No work shall be done off the existing pavement and care shall be taken to not disturb the existing vegetation in this area. </w:t>
      </w:r>
    </w:p>
    <w:p>
      <w:pPr>
        <w:pStyle w:val="BodyText1"/>
        <w:keepNext/>
        <w:rPr>
          <w:rStyle w:val="DefaultParagraphFont"/>
          <w:rFonts w:ascii="Calibri" w:eastAsia="Calibri" w:hAnsi="Calibri" w:cs="Calibri"/>
        </w:rPr>
      </w:pPr>
      <w:r>
        <w:rPr>
          <w:rStyle w:val="DefaultParagraphFont"/>
          <w:rFonts w:ascii="Calibri" w:eastAsia="Calibri" w:hAnsi="Calibri" w:cs="Calibri"/>
        </w:rPr>
        <w:t>10. This project is located in or near the source of public drinking water supplies. Do not perform equipment fueling within the locations identified in the table below.  If refueling of immobile equipment is necessary within these limits, provide secondary containment with enough capacity to completely contain and collect all potential liquid wastes in the event of a spill.  Do not perform maintenance activities associated with any viscous material that has potential to contaminate the groundwater.  All equipment or liquid containers shall be regularly checked for leaks prior to entering the restricted areas.  Identify all areas of fuel storage, equipment maintenance and spill kits on the Stormwater Pollution Prevention Plan.  All areas utilized by the Contractor not included within the table below and not in the project limits shall be assessed for potential groundwater contamination and be indicated on the Stormwater Pollution Prevention Plan or Spill Prevention Control and Countermeasures Plan. The Contractor shall immediately take steps to mitigate any event, such as a spill of fuels, oils, or chemicals. Any such spill or event shall be reported immediately to the emergency contact listed below for each drinking water source.  If the spill is a reportable amount, the Contractor should contact Ohio EPA Environmental Response and Revitalization (419-373-3031 or 800-282-9378) for cleanup of the spill.</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Drinking Water Source </w:t>
        <w:tab/>
        <w:t xml:space="preserve">           Restricted Refueling and Maintenance Area </w:t>
        <w:tab/>
        <w:t>Emergency Contact Information</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Spuyten Duyval Golf Club </w:t>
        <w:tab/>
        <w:t>Between Crissey Rd and Murd Rd</w:t>
        <w:tab/>
        <w:t xml:space="preserve">                         419-829-2891</w:t>
      </w:r>
    </w:p>
    <w:p>
      <w:pPr>
        <w:pStyle w:val="BodyText1"/>
        <w:keepNext/>
        <w:rPr>
          <w:rStyle w:val="DefaultParagraphFont"/>
          <w:rFonts w:ascii="Calibri" w:eastAsia="Calibri" w:hAnsi="Calibri" w:cs="Calibri"/>
        </w:rPr>
      </w:pPr>
      <w:r>
        <w:rPr>
          <w:rStyle w:val="DefaultParagraphFont"/>
          <w:rFonts w:ascii="Calibri" w:eastAsia="Calibri" w:hAnsi="Calibri" w:cs="Calibri"/>
        </w:rPr>
        <w:t>The Roadhouse</w:t>
        <w:tab/>
        <w:t xml:space="preserve">           Between N Raab Rd and Richfield Center Rd</w:t>
        <w:tab/>
        <w:t xml:space="preserve">         419-829-2223</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Josiah Allen, </w:t>
            </w: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15,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15,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ESA Report.pdf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IOC.pdf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Oil and Gas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Cultural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Mapping.GIF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OBD Ecological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Wetland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Drinking Water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Minority LUC.GIF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Low Income.GIF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Flood Plain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Coordination .pdf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17</w:t>
    </w:r>
    <w:r>
      <w:fldChar w:fldCharType="end"/>
    </w:r>
    <w:r>
      <w:t xml:space="preserve"> of </w:t>
    </w:r>
    <w:r>
      <w:fldChar w:fldCharType="begin"/>
    </w:r>
    <w:r>
      <w:instrText xml:space="preserve"> NUMPAGES   \* MERGEFORMAT </w:instrText>
    </w:r>
    <w:r>
      <w:fldChar w:fldCharType="separate"/>
    </w:r>
    <w:r w:rsidR="00A677E6">
      <w:rPr>
        <w:noProof/>
      </w:rPr>
      <w:t>17</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92127 LUC US 20 0.00 Resurf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15,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2016-01-15T05:00:00+00:00</DateCompleted>
    <Internal_x0020_Only xmlns="df873bd8-8520-468a-8ecb-74db49e47217">No</Internal_x0020_Only>
    <FID xmlns="df873bd8-8520-468a-8ecb-74db49e47217">6220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CCB2352-7E35-432B-916E-B71194299C0E}"/>
</file>

<file path=customXml/itemProps2.xml><?xml version="1.0" encoding="utf-8"?>
<ds:datastoreItem xmlns:ds="http://schemas.openxmlformats.org/officeDocument/2006/customXml" ds:itemID="{7A051E30-7082-44C0-BD98-FF61B9F5855D}"/>
</file>

<file path=customXml/itemProps3.xml><?xml version="1.0" encoding="utf-8"?>
<ds:datastoreItem xmlns:ds="http://schemas.openxmlformats.org/officeDocument/2006/customXml" ds:itemID="{FC15DB93-8D12-4E29-BE98-E42E48B96F6D}"/>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