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D04 PM FY2017 (Epoxy) PID 101992</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June 2,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4</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5</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9</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101992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4-PLANNING</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 Other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Ohio Department of Transportation (ODOT) plans to improve Interstate Route (IR) 90 in Plymouth, Kingsville and Sheffield Townships and the city of Conneaut, Ashtabula County, Ohio.  This project proposes to install epoxy pavement markings along IR 90 from Straight Line Mile (SLM) 14.35 to SLM 19.70 and from SLM 22.50 to SLM 28.69.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project has no Federal funding (100% State funded project), does not involve a Federal action and will be constructed entirely within the existing highway right-of-way.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Statewide Line Item (SLI) Number 32 and is fiscally constrained.</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05/24/2016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(1) Activities which do not involve or lead directly to construction, such as planning and technical studies; grants for training; engineering to define the elements of a proposed action or alternatives so that social, economic, and environmental effects can be assessed; and Federal-aid system revisions which establish classes of highways on the Federal-aid highway system. </w:t>
            </w:r>
            <w:r>
              <w:rPr>
                <w:rStyle w:val="DefaultParagraphFont"/>
                <w:b/>
                <w:i/>
                <w:sz w:val="24"/>
                <w:szCs w:val="24"/>
                <w:lang w:val="en-US" w:eastAsia="en-US" w:bidi="ar-SA"/>
              </w:rPr>
              <w:t>Examples include: Study type projects (i.e. feasibility studies, etc.); Projects that utilize no federal monies or require no federal actions (State-funded actions only); Land donations to ODOT associated with ROW permits (non-NHS/non-Limited Access right-of-way). (Environmental Site Assessment issues will require coordination with ODOT-OES) (State-funded actions only).</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 xml:space="preserve">(8) Installation of fencing, signs, pavement markings, small passenger shelters, traffic signals, and railroad warning devices where no substantial land acquisition or traffic disruption will occur. </w:t>
            </w:r>
            <w:r>
              <w:rPr>
                <w:rStyle w:val="DefaultParagraphFont"/>
                <w:b/>
                <w:i/>
                <w:sz w:val="24"/>
                <w:szCs w:val="24"/>
                <w:lang w:val="en-US" w:eastAsia="en-US" w:bidi="ar-SA"/>
              </w:rPr>
              <w:t>Examples include: The installation or maintenance of signs, pavement markings/raised pavement markers/sensors, traffic calming activities, and/or new or replacement fencing (right-of-way, vandal, etc.); General pavement marking or "line painting" projects.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1. COMMUNITY NOTIFICATION: THE CONTRACTOR WILL ADVISE THE ODOT PROJECT ENGINEER A MINIMUM OF TWENTY-ONE (21) DAYS PRIOR TO THE START OF CONSTRUCTION ACTIVITIES.  THE CONTRACTOR MUST ALSO PROVIDE NOTIFICATION TO THE ODOT PROJECT ENGINEER A MINIMUM OF TWENTY-ONE (21) DAYS PRIOR TO ANY LANE RESTRICTIONS.  THE ODOT PROJECT ENGINEER WILL FORWARD THE INFORMATION TO THE ODOT, DISTRICT 4 OFFICE OF PUBLIC INFORMATION FOR USE TO NOTIFY EMERGENCY SERVICES AND COMMUNITIES A MINIMUM OF FOURTEEN (14) DAYS PRIOR TO THE START OF PROJECT CONSTRUCTION.  INCLUDED IN THIS NOTIFICATION WILL BE THE PROJECTED DATES OF ANY LANE RESTRICTIONS REQUIRED BY THE PROJECT.  </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1. COMMUNITY NOTIFICATION: THE CONTRACTOR WILL ADVISE THE ODOT PROJECT ENGINEER A MINIMUM OF TWENTY-ONE (21) DAYS PRIOR TO THE START OF CONSTRUCTION ACTIVITIES.  THE CONTRACTOR MUST ALSO PROVIDE NOTIFICATION TO THE ODOT PROJECT ENGINEER A MINIMUM OF TWENTY-ONE (21) DAYS PRIOR TO ANY LANE RESTRICTIONS.  THE ODOT PROJECT ENGINEER WILL FORWARD THE INFORMATION TO THE ODOT, DISTRICT 4 OFFICE OF PUBLIC INFORMATION FOR USE TO NOTIFY EMERGENCY SERVICES AND COMMUNITIES A MINIMUM OF FOURTEEN (14) DAYS PRIOR TO THE START OF PROJECT CONSTRUCTION.  INCLUDED IN THIS NOTIFICATION WILL BE THE PROJECTED DATES OF ANY LANE RESTRICTIONS REQUIRED BY THE PROJECT.  </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Rebecca Bisesi, </w:t>
            </w:r>
            <w:r>
              <w:rPr>
                <w:rStyle w:val="DefaultParagraphFont"/>
                <w:b w:val="0"/>
                <w:sz w:val="24"/>
                <w:szCs w:val="24"/>
                <w:lang w:val="en-US" w:eastAsia="en-US" w:bidi="ar-SA"/>
              </w:rPr>
              <w:t xml:space="preserve">Robert Lang, </w:t>
            </w:r>
            <w:r>
              <w:rPr>
                <w:rStyle w:val="DefaultParagraphFont"/>
                <w:b w:val="0"/>
                <w:sz w:val="24"/>
                <w:szCs w:val="24"/>
                <w:lang w:val="en-US" w:eastAsia="en-US" w:bidi="ar-SA"/>
              </w:rPr>
              <w:t>Sean Carpenter</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June 2,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June 2,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3 Design.pdf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10</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10</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101992 D04 PM FY2017 (Epoxy)</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June 2,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101992 D04 PM FY2017 (Epoxy)</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June 2,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101992 D04 PM FY2017 (Epoxy)</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June 2,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101992 D04 PM FY2017 (Epoxy)</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June 2,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101992 D04 PM FY2017 (Epoxy)</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June 2,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2016-06-02T04:00:00+00:00</DateCompleted>
    <Internal_x0020_Only xmlns="df873bd8-8520-468a-8ecb-74db49e47217">No</Internal_x0020_Only>
    <FID xmlns="df873bd8-8520-468a-8ecb-74db49e47217">6504</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33E6F892-8D23-4315-AA1E-F5045FAE504E}"/>
</file>

<file path=customXml/itemProps2.xml><?xml version="1.0" encoding="utf-8"?>
<ds:datastoreItem xmlns:ds="http://schemas.openxmlformats.org/officeDocument/2006/customXml" ds:itemID="{912AF327-C6E5-4B71-A710-35BB08D583D0}"/>
</file>

<file path=customXml/itemProps3.xml><?xml version="1.0" encoding="utf-8"?>
<ds:datastoreItem xmlns:ds="http://schemas.openxmlformats.org/officeDocument/2006/customXml" ds:itemID="{F58B6659-1D8A-4A2A-A5D6-1A87F8C173AF}"/>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