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PM FY2017 (WO) PID 101995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25,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101995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 apply pavement markings along various routes throughout District 4 through a work order contract.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has no Federal funding (100% State funded project), does not involve a Federal action and will be constructed within the existing highway/roadway rights-of-way.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OR CLOSURES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OR CLOSURES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25,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25,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101995 D04 PM FY2017 (WO)</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101995 D04 PM FY2017 (WO)</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101995 D04 PM FY2017 (WO)</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101995 D04 PM FY2017 (WO)</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101995 D04 PM FY2017 (WO)</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2016-10-25T04:00:00+00:00</DateCompleted>
    <Internal_x0020_Only xmlns="df873bd8-8520-468a-8ecb-74db49e47217">No</Internal_x0020_Only>
    <FID xmlns="df873bd8-8520-468a-8ecb-74db49e47217">6506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01C5647-9E2C-4CB9-8E51-B043F82C811C}"/>
</file>

<file path=customXml/itemProps2.xml><?xml version="1.0" encoding="utf-8"?>
<ds:datastoreItem xmlns:ds="http://schemas.openxmlformats.org/officeDocument/2006/customXml" ds:itemID="{437052D0-CF0E-4859-9FE0-497F524EF11D}"/>
</file>

<file path=customXml/itemProps3.xml><?xml version="1.0" encoding="utf-8"?>
<ds:datastoreItem xmlns:ds="http://schemas.openxmlformats.org/officeDocument/2006/customXml" ds:itemID="{511BA083-B927-489C-9BBA-B3E451A3C74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