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SR 0687 00.18 PID 87660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24,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21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87660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STARK CO.TRANSPORTATION IMPROVEMENT DIST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Stark County Transportation Improvement District (TID),in cooperation with the Ohio Department of Transportation (ODOT) and JacksonTownship, proposes to widen and improve State Route (SR) 687/Fulton Drive fromapproximately 0.16 mile east of SR 241/Wales Road to Brunnerdale Avenue inJackson Township, Stark County, Ohio. This project proposes to:</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widen the existing two-lane (one through lane ineach direction) roadway to a four-lane roadway (two through lanes in eachdirection) with an additional fifth center left turn lane on SR 687 at FoxchaseAvenue, new Armandale Avenue Extension and Fleetwood Avenue;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construct a new two-lane Armandale Avenue Extensionroadway, approximately 342 feet in length, between Armandale Avenue and SR 687 andapproximately 670 feet northwest of the existing SR 687/Fleetwood Avenue/YostStreet intersection;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remove the Yost Street approach at the existing5-approach SR 687/Fleetwood Avenue/Yost Street intersection;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construct a 50-foot radius cul-de-sac on YostStreet approximately 155 feet west of the existing SR 687/Fleetwood Avenue/YostStreet intersection;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adjust the vertical profile of SR 687 near theKonen Avenue intersection;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construct an exclusive right turn lane onBrunnerdale Avenue at the SR 687/Brunnerdale Avenue intersection;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upgrade the existing drainage system withproposed new storm sewers and combination curb/gutters;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construct 50-foot and 75-foot curb radii atmajor intersections;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reconstruct the existing electric trafficsignals at the SR 687/Foxboro Avenue and SR 687/Brunnerdale Avenueintersections;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construct a new 5-foot wide sidewalk on thesouth side of SR 687 from Foxboro Avenue to Foxchase Avenue;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replace the existing traffic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apply new pavement markings;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extend both the inlet and outlet of Structure No.STA-687-0.29/Structure File Number (SFN) 7606559, an existing 20-foot long by6-foot tall reinforced concrete box culvert that conveys the Rudy FreidmanDitch;</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replace the following culverts (ranging in sizefrom 12-inch diameter to 36-inch diameter):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Culvert No. STA-687-0.20/Culvert File Number (CFN)766870010;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Culvert No. STA-687-0.36/CFN 766870030;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Culvert No. STA-687-1.10/CFN 766870040;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Culvert No. STA-687-1.22/CFN 766870050;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Culvert No. STA-687-1.23/CFN 766870060;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Culvert No. STA-687-1.25/CFN 766870070;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Culvert No. STA-687-1.32/CFN 766870080.</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Acquisitions of new permanent right-of-way, temporaryright-of-way and sewer easements are required from several parcels to constructthe project.  A total of approximately2.5168 acres of new permanent right-of-way, a total of approximately 3.4636acres of temporary right-of-way and a total of approximately 0.125 acre ofsewer easements will be acquired to construct the project.  The next phase of the project is right-of-wayacquisition that will utilize 100% State (non-federal) funds.  This project is fiscally constrained.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impact approximately 2.28 acres of forestedhabitat area, including fourteen potential bat roost trees with two of themlarge enough to be considered potential maternity roost trees for the Indianabat (Myotis sodalis) and/or the Northern Long-eared bat (Myotisseptentrionalis), resulting in a May Affect, Not Likely to Adversely Affect(MANLAA) determination for this project.  Tree removal shall be performed for theproject after September 30 and before April 1 to avoid impacts to thesespecies.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Two streams, two wetlands, one jurisdictional ditch and LakeCable exist within the project study area. The project proposes to impact a total of 455 linear feet of bothstreams, 0.03-acre of one wetlands and 180 linear feet/0.002-acre of thejurisdictional ditch.  The project will notimpact the other wetlands located south of SR 687 and east of the SR 687/FoxchaseAvenue intersection and will not impact Lake Cable located north of SR 687 andwest of the SR 687/Brunnerdale Avenue intersection.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Continued in the Project Description - Continuation.pdf filein the Project File/General/Project Information subsection.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 100% State Funded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07/31/2013</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de minimis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de minimis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11/13/2014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11/06/2014</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and Coordination Conducted; No Impacts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Agency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Qualitative MSAT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OEPA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and Coordination Conducted; No Impacts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Noise Analysis Completed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04/10/2013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BodyText0"/>
        <w:keepNext/>
        <w:rPr>
          <w:rStyle w:val="DefaultParagraphFont"/>
          <w:rFonts w:ascii="Calibri" w:eastAsia="Calibri" w:hAnsi="Calibri" w:cs="Calibri"/>
        </w:rPr>
      </w:pPr>
      <w:r>
        <w:rPr>
          <w:rStyle w:val="DefaultParagraphFont"/>
          <w:rFonts w:ascii="Calibri" w:eastAsia="Calibri" w:hAnsi="Calibri" w:cs="Calibri"/>
        </w:rPr>
        <w:t>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Prior to demolition and removal of the STA-687-0.29 (SFN 7606559) bridge, the underside of the bridge shall be carefully examined for the presence of bats, especially from April 1 to September 30.  If any bats are found roosting on the underside of the bridge, ODOT-OES (614-466-7100) shall be notified and the US Fish and Wildlife Service, Ecological Services Division shall be contacted or provided with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3.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shall be incorporated into the project construction plan as Special Provisions. The project contractor shall adhere to all waterway permit terms and conditions throughout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4. Under the direction of the project engineer, the contractor may place permanent fills in wetlands as directed in the construction plan.  To protect and delineate the boundary of the existing remaining wetlands, construction fence and perimeter filter fabric fence shall be installed along the proposed construction limits within the wetlands area by the contractor prior to the start of any construction activities within the limits and adjacent area, including any necessary clearing and grubbing activities.  The construction fence and perimeter filter fabric fence shall be maintained by the contractor throughout project construction and shall be removed by the contractor upon project completion.</w:t>
      </w:r>
    </w:p>
    <w:p>
      <w:pPr>
        <w:pStyle w:val="BodyText0"/>
        <w:keepNext/>
        <w:rPr>
          <w:rStyle w:val="DefaultParagraphFont"/>
          <w:rFonts w:ascii="Calibri" w:eastAsia="Calibri" w:hAnsi="Calibri" w:cs="Calibri"/>
        </w:rPr>
      </w:pPr>
      <w:r>
        <w:rPr>
          <w:rStyle w:val="DefaultParagraphFont"/>
          <w:rFonts w:ascii="Calibri" w:eastAsia="Calibri" w:hAnsi="Calibri" w:cs="Calibri"/>
        </w:rPr>
        <w:t>5.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6.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Areas disturbed by the project shall be seeded/revegetated and mulched during construction to encourage establishment of vegetation cover, decrease erosion and prevent erosion of sediments into waters of the United States. </w:t>
      </w:r>
    </w:p>
    <w:p>
      <w:pPr>
        <w:pStyle w:val="BodyText0"/>
        <w:keepNext/>
        <w:rPr>
          <w:rStyle w:val="DefaultParagraphFont"/>
          <w:rFonts w:ascii="Calibri" w:eastAsia="Calibri" w:hAnsi="Calibri" w:cs="Calibri"/>
        </w:rPr>
      </w:pPr>
      <w:r>
        <w:rPr>
          <w:rStyle w:val="DefaultParagraphFont"/>
          <w:rFonts w:ascii="Calibri" w:eastAsia="Calibri" w:hAnsi="Calibri" w:cs="Calibri"/>
        </w:rPr>
        <w:t>7. The contractor shall take all precautions necessary to prevent any incidental discharges associated with the excavation and hauling of material from streams and/or wetlands.  This pertains to any excavation operation such as, foundation, pier or abutment excavation, channel clean out and excavation for rock channel protection.</w:t>
      </w:r>
    </w:p>
    <w:p>
      <w:pPr>
        <w:pStyle w:val="BodyText0"/>
        <w:keepNext/>
        <w:rPr>
          <w:rStyle w:val="DefaultParagraphFont"/>
          <w:rFonts w:ascii="Calibri" w:eastAsia="Calibri" w:hAnsi="Calibri" w:cs="Calibri"/>
        </w:rPr>
      </w:pPr>
      <w:r>
        <w:rPr>
          <w:rStyle w:val="DefaultParagraphFont"/>
          <w:rFonts w:ascii="Calibri" w:eastAsia="Calibri" w:hAnsi="Calibri" w:cs="Calibri"/>
        </w:rPr>
        <w:t>8. All materials removed from streams, ditches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and requires a permit action.</w:t>
      </w:r>
    </w:p>
    <w:p>
      <w:pPr>
        <w:pStyle w:val="BodyText0"/>
        <w:keepNext/>
        <w:rPr>
          <w:rStyle w:val="DefaultParagraphFont"/>
          <w:rFonts w:ascii="Calibri" w:eastAsia="Calibri" w:hAnsi="Calibri" w:cs="Calibri"/>
        </w:rPr>
      </w:pPr>
      <w:r>
        <w:rPr>
          <w:rStyle w:val="DefaultParagraphFont"/>
          <w:rFonts w:ascii="Calibri" w:eastAsia="Calibri" w:hAnsi="Calibri" w:cs="Calibri"/>
        </w:rPr>
        <w:t>9. 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10.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r>
        <w:rPr>
          <w:rStyle w:val="DefaultParagraphFont"/>
          <w:rFonts w:ascii="Calibri" w:eastAsia="Calibri" w:hAnsi="Calibri" w:cs="Calibri"/>
        </w:rPr>
        <w:t>11. Tree clearing on any portion of the project should occur after both the U.S. Army Corps of Engineers and Ohio Environmental Protection Agency anticipate issuance of any required Section</w:t>
      </w:r>
    </w:p>
    <w:p>
      <w:pPr>
        <w:pStyle w:val="BodyText0"/>
        <w:keepNext/>
        <w:rPr>
          <w:rStyle w:val="DefaultParagraphFont"/>
          <w:rFonts w:ascii="Calibri" w:eastAsia="Calibri" w:hAnsi="Calibri" w:cs="Calibri"/>
        </w:rPr>
      </w:pPr>
      <w:r>
        <w:rPr>
          <w:rStyle w:val="DefaultParagraphFont"/>
          <w:rFonts w:ascii="Calibri" w:eastAsia="Calibri" w:hAnsi="Calibri" w:cs="Calibri"/>
        </w:rPr>
        <w:t>404/Nationwide and Section 401 Water Quality Certification permit(s) authorizing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12. Detailed plan information will be coordinated with the Stark County Chief Building Official to ensure the project meets or exceeds all flood plain requirements and a flood plain permit, if needed, shall be obtained for the project prior to completion of final plan tracings.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13. Additional public involvement, including property owner notifications and stakeholder consultation with emergency and public services shall be performed for the project upon availability of detailed MOT and design information.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14. The property located at 7067 SR 687/Fulton Drive NW (Sutton property) is documented in the Ohio Historic Inventory as STA-681-02 and determined eligible for inclusion on the National Register of Historic Places (NRHP).  A low stone wall located along the front of the property shall be avoided/protected during construction.  Minor impacts to the wall shall be limited to the removal of a small return-section located west of the western drive.  The remaining return-section shall remain.  Existing overhead utility lines shall be relocated to the south side of SR 687.  Utility poles at the eastern and western drives may be relocated slightly.  Due to existing utility line conflicts, removal of the front row of spruce trees east of the eastern drive and west of the western drive is required.  The two hardwood trees between the house and the stone wall and third hardwood tree at the eastern drive shall be saved/avoided by the project.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BodyText1"/>
        <w:keepNext/>
        <w:rPr>
          <w:rStyle w:val="DefaultParagraphFont"/>
          <w:rFonts w:ascii="Calibri" w:eastAsia="Calibri" w:hAnsi="Calibri" w:cs="Calibri"/>
        </w:rPr>
      </w:pPr>
      <w:r>
        <w:rPr>
          <w:rStyle w:val="DefaultParagraphFont"/>
          <w:rFonts w:ascii="Calibri" w:eastAsia="Calibri" w:hAnsi="Calibri" w:cs="Calibri"/>
        </w:rPr>
        <w:t>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Prior to demolition and removal of the STA-687-0.29 (SFN 7606559) bridge, the underside of the bridge shall be carefully examined for the presence of bats, especially from April 1 to September 30.  If any bats are found roosting on the underside of the bridge, ODOT-OES (614-466-7100) shall be notified and the US Fish and Wildlife Service, Ecological Services Division shall be contacted or provided with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3.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shall be incorporated into the project construction plan as Special Provisions. The project contractor shall adhere to all waterway permit terms and conditions throughout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4. Under the direction of the project engineer, the contractor may place permanent fills in wetlands as directed in the construction plan.  To protect and delineate the boundary of the existing remaining wetlands, construction fence and perimeter filter fabric fence shall be installed along the proposed construction limits within the wetlands area by the contractor prior to the start of any construction activities within the limits and adjacent area, including any necessary clearing and grubbing activities.  The construction fence and perimeter filter fabric fence shall be maintained by the contractor throughout project construction and shall be removed by the contractor upon project completion.</w:t>
      </w:r>
    </w:p>
    <w:p>
      <w:pPr>
        <w:pStyle w:val="BodyText1"/>
        <w:keepNext/>
        <w:rPr>
          <w:rStyle w:val="DefaultParagraphFont"/>
          <w:rFonts w:ascii="Calibri" w:eastAsia="Calibri" w:hAnsi="Calibri" w:cs="Calibri"/>
        </w:rPr>
      </w:pPr>
      <w:r>
        <w:rPr>
          <w:rStyle w:val="DefaultParagraphFont"/>
          <w:rFonts w:ascii="Calibri" w:eastAsia="Calibri" w:hAnsi="Calibri" w:cs="Calibri"/>
        </w:rPr>
        <w:t>5.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6.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Areas disturbed by the project shall be seeded/revegetated and mulched during construction to encourage establishment of vegetation cover, decrease erosion and prevent erosion of sediments into waters of the United States. </w:t>
      </w:r>
    </w:p>
    <w:p>
      <w:pPr>
        <w:pStyle w:val="BodyText1"/>
        <w:keepNext/>
        <w:rPr>
          <w:rStyle w:val="DefaultParagraphFont"/>
          <w:rFonts w:ascii="Calibri" w:eastAsia="Calibri" w:hAnsi="Calibri" w:cs="Calibri"/>
        </w:rPr>
      </w:pPr>
      <w:r>
        <w:rPr>
          <w:rStyle w:val="DefaultParagraphFont"/>
          <w:rFonts w:ascii="Calibri" w:eastAsia="Calibri" w:hAnsi="Calibri" w:cs="Calibri"/>
        </w:rPr>
        <w:t>7. The contractor shall take all precautions necessary to prevent any incidental discharges associated with the excavation and hauling of material from streams and/or wetlands.  This pertains to any excavation operation such as, foundation, pier or abutment excavation, channel clean out and excavation for rock channel protection.</w:t>
      </w:r>
    </w:p>
    <w:p>
      <w:pPr>
        <w:pStyle w:val="BodyText1"/>
        <w:keepNext/>
        <w:rPr>
          <w:rStyle w:val="DefaultParagraphFont"/>
          <w:rFonts w:ascii="Calibri" w:eastAsia="Calibri" w:hAnsi="Calibri" w:cs="Calibri"/>
        </w:rPr>
      </w:pPr>
      <w:r>
        <w:rPr>
          <w:rStyle w:val="DefaultParagraphFont"/>
          <w:rFonts w:ascii="Calibri" w:eastAsia="Calibri" w:hAnsi="Calibri" w:cs="Calibri"/>
        </w:rPr>
        <w:t>8. All materials removed from streams, ditches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and requires a permit action.</w:t>
      </w:r>
    </w:p>
    <w:p>
      <w:pPr>
        <w:pStyle w:val="BodyText1"/>
        <w:keepNext/>
        <w:rPr>
          <w:rStyle w:val="DefaultParagraphFont"/>
          <w:rFonts w:ascii="Calibri" w:eastAsia="Calibri" w:hAnsi="Calibri" w:cs="Calibri"/>
        </w:rPr>
      </w:pPr>
      <w:r>
        <w:rPr>
          <w:rStyle w:val="DefaultParagraphFont"/>
          <w:rFonts w:ascii="Calibri" w:eastAsia="Calibri" w:hAnsi="Calibri" w:cs="Calibri"/>
        </w:rPr>
        <w:t>9. 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10.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r>
        <w:rPr>
          <w:rStyle w:val="DefaultParagraphFont"/>
          <w:rFonts w:ascii="Calibri" w:eastAsia="Calibri" w:hAnsi="Calibri" w:cs="Calibri"/>
        </w:rPr>
        <w:t>11. Tree clearing on any portion of the project should occur after both the U.S. Army Corps of Engineers and Ohio Environmental Protection Agency anticipate issuance of any required Section</w:t>
      </w:r>
    </w:p>
    <w:p>
      <w:pPr>
        <w:pStyle w:val="BodyText1"/>
        <w:keepNext/>
        <w:rPr>
          <w:rStyle w:val="DefaultParagraphFont"/>
          <w:rFonts w:ascii="Calibri" w:eastAsia="Calibri" w:hAnsi="Calibri" w:cs="Calibri"/>
        </w:rPr>
      </w:pPr>
      <w:r>
        <w:rPr>
          <w:rStyle w:val="DefaultParagraphFont"/>
          <w:rFonts w:ascii="Calibri" w:eastAsia="Calibri" w:hAnsi="Calibri" w:cs="Calibri"/>
        </w:rPr>
        <w:t>404/Nationwide and Section 401 Water Quality Certification permit(s) authorizing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12. Detailed plan information will be coordinated with the Stark County Chief Building Official to ensure the project meets or exceeds all flood plain requirements and a flood plain permit, if needed, shall be obtained for the project prior to completion of final plan tracings.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13. Additional public involvement, including property owner notifications and stakeholder consultation with emergency and public services shall be performed for the project upon availability of detailed MOT and design information.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14. The property located at 7067 SR 687/Fulton Drive NW (Sutton property) is documented in the Ohio Historic Inventory as STA-681-02 and determined eligible for inclusion on the National Register of Historic Places (NRHP).  A low stone wall located along the front of the property shall be avoided/protected during construction.  Minor impacts to the wall shall be limited to the removal of a small return-section located west of the western drive.  The remaining return-section shall remain.  Existing overhead utility lines shall be relocated to the south side of SR 687.  Utility poles at the eastern and western drives may be relocated slightly.  Due to existing utility line conflicts, removal of the front row of spruce trees east of the eastern drive and west of the western drive is required.  The two hardwood trees between the house and the stone wall and third hardwood tree at the eastern drive shall be saved/avoided by the project.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Robert Rosen</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Air</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FHWA Approval - PM2.5.pdf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Approval - PM2.5.pdf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Conformity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USEPA Approval - PM2.5.pdf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Qualitative MSAT Analysis.pdf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OEPA - Qualitative MSAT.pdf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Approval - Qualitative MSAT.pdf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Noise</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Section 4(f)</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 - de minimis.pdf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FHWA Section 106 - de minimis Approval.pdf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General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Right-of-way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Description – Continuation.pdf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Alternatives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Preliminary Engineering Report.pdf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Preliminary Engineering Report Exhibit A.pdf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ESA</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Cultural Resources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Field Investigation - Archaeological 1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 - No Adverse Effect.pdf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Consulting Parties.pdf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History Architecture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Consulting Parties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Consulting Parties 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Archaeological Evaluation IOC.pdf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Ecological</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Preliminary Jurisdictional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MOA Agency Comments.pdf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Other Resources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Justice</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20" w:name="_Toc256000019"/>
      <w:r>
        <w:rPr>
          <w:rStyle w:val="DefaultParagraphFont"/>
          <w:rFonts w:ascii="Calibri" w:eastAsia="Calibri" w:hAnsi="Calibri" w:cs="Calibri"/>
        </w:rPr>
        <w:t>Public Involvement</w:t>
      </w:r>
      <w:bookmarkEnd w:id="20"/>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Comment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 Website Post.pdf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3"/>
        <w:keepNext/>
        <w:rPr>
          <w:rStyle w:val="DefaultParagraphFont"/>
          <w:rFonts w:ascii="Calibri" w:eastAsia="Calibri" w:hAnsi="Calibri" w:cs="Calibri"/>
        </w:rPr>
      </w:pPr>
      <w:bookmarkStart w:id="21" w:name="_Toc256000020"/>
      <w:r>
        <w:rPr>
          <w:rStyle w:val="DefaultParagraphFont"/>
          <w:rFonts w:ascii="Calibri" w:eastAsia="Calibri" w:hAnsi="Calibri" w:cs="Calibri"/>
        </w:rPr>
        <w:t>Permits</w:t>
      </w:r>
      <w:bookmarkEnd w:id="21"/>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Explanation of Flood Plain Impact.pdf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87660 STA SR 0687 00.18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87660 STA SR 0687 00.18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87660 STA SR 0687 00.18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87660 STA SR 0687 00.18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87660 STA SR 0687 00.18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F"/>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2017-04-24T04:00:00+00:00</DateCompleted>
    <Internal_x0020_Only xmlns="df873bd8-8520-468a-8ecb-74db49e47217">No</Internal_x0020_Only>
    <FID xmlns="df873bd8-8520-468a-8ecb-74db49e47217">6579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EFE4BEA-4B28-4C21-AF73-FBB37C32BBCE}"/>
</file>

<file path=customXml/itemProps2.xml><?xml version="1.0" encoding="utf-8"?>
<ds:datastoreItem xmlns:ds="http://schemas.openxmlformats.org/officeDocument/2006/customXml" ds:itemID="{B6E560F6-32DB-40C3-803D-C725F09DF72F}"/>
</file>

<file path=customXml/itemProps3.xml><?xml version="1.0" encoding="utf-8"?>
<ds:datastoreItem xmlns:ds="http://schemas.openxmlformats.org/officeDocument/2006/customXml" ds:itemID="{16BE5D3A-399B-4EB7-9518-11482EC35F7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