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LUC SR 184 1.45 Storm Sewer PID 99662</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July 10,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13</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99662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This project proposes to resurface State Route 184 from Archer Dr to Flanders Rd. Additional work includes replacing the storm sewer from Webster Rd to Roberts Rd and from Archer Rd to Flanders Rd. Additional right of way from 3 residential properties will be required. Coordination with the City of Sylvania for utility relocations is on-going. There is no work within any waterway so no US Army Corps of Engineers permit is required. This project is not located within a special flood hazard area therefor there will be no impacts to the floodplain. No ecological or historically significant resources impacted by this project. Construction is expected to begin in the summer of 2018 and last approximately 120 days. During construction, at least one lane of traffic will be maintained at all times and pedestrian traffic will be maintained on one side of the street.</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32</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(26) Modernization of a highway by resurfacing, restoration, rehabilitation, reconstruction, adding shoulders, or adding auxiliary lanes (including parking, weaving, turning, and climbing lanes), if the action meets the constraints in paragraph (e) of this section. </w:t>
            </w:r>
            <w:r>
              <w:rPr>
                <w:rStyle w:val="DefaultParagraphFont"/>
                <w:b/>
                <w:i/>
                <w:sz w:val="24"/>
                <w:szCs w:val="24"/>
                <w:lang w:val="en-US" w:eastAsia="en-US" w:bidi="ar-SA"/>
              </w:rPr>
              <w:t>Examples include: Joint or limited use of right-of-way where the proposed use would have minimal or no adverse social (including highway safety), economic or environmental impacts; Installation of new noise walls and other new noise mitigation projects; Construction of highway safety and truck escape ramps; Construction of bicycle lanes and pedestrian walkways, sidewalks, shared-use paths, or facilities and trailhead parking that do not otherwise qualify for a C1 designation; Beautification or facility improvement projects (i.e. landscaping, curb and gutter installation and replacement, ADA ramps/curb ramps, installation of park benches, decorative lighting, etc.); Construction of alternative energy facilities (fuel tank farms, wind turbines, etc.)</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Impacts to Protected Species and Critical Habitat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Encroachment Within a Special Flood Hazard Area (SFHA)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Potential to Cause Effect - Appendix B</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ODOT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05/25/2017</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05/30/2017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05/10/2017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Further Studies Warranted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Urbanized Area; No Impacts in Accordance With the Farmland MOU and 7 CFR 658</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Notes shall be placed in the plans by ODOT or LPA directing the contractor to comply with the notification requirement timeframes outlined in the Traffic Engineering Manual Part 642-8 and 642-58 to ensure compliance with Federal notification requirements.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2. No trees shall be removed under this project.  The project is located within the known habitat ranges of the federally listed and protected Indiana bat and northern long-eared bat.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Indent0"/>
        <w:keepNext/>
        <w:rPr>
          <w:rStyle w:val="DefaultParagraphFont"/>
          <w:rFonts w:ascii="Calibri" w:eastAsia="Calibri" w:hAnsi="Calibri" w:cs="Calibri"/>
        </w:rPr>
      </w:pPr>
      <w:r>
        <w:rPr>
          <w:rStyle w:val="DefaultParagraphFont"/>
          <w:rFonts w:ascii="Calibri" w:eastAsia="Calibri" w:hAnsi="Calibri" w:cs="Calibri"/>
        </w:rPr>
        <w:t xml:space="preserve">3. Pedestrian access shall be maintained through the construction zone at all times by ODOT and the contractor.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Notes shall be placed in the plans by ODOT or LPA directing the contractor to comply with the notification requirement timeframes outlined in the Traffic Engineering Manual Part 642-8 and 642-58 to ensure compliance with Federal notification requirements.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2. No trees shall be removed under this project.  The project is located within the known habitat ranges of the federally listed and protected Indiana bat and northern long-eared bat.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3. Pedestrian access shall be maintained through the construction zone at all times by ODOT and the contractor.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Phoenix Golnick Neal</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Phoenix Golnick Neal ENV SPEC 2</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July 10,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Phoenix Golnick Neal ENV SPEC 2</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July 10,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Clark Oil File 1.pdf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Clark Oil File 2.pdf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Screening.pdf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Study Area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 - Minimum Potential to Cause Effects - B.pdf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Environmental Justice</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EJ Documentation Form.pdf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Permits</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14</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14</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99662 LUC SR 184 1.45 Storm Sewer</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10,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99662 LUC SR 184 1.45 Storm Sewer</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10,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99662 LUC SR 184 1.45 Storm Sewer</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10,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99662 LUC SR 184 1.45 Storm Sewer</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10,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99662 LUC SR 184 1.45 Storm Sewer</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10,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2017-07-10T04:00:00+00:00</DateCompleted>
    <Internal_x0020_Only xmlns="df873bd8-8520-468a-8ecb-74db49e47217">No</Internal_x0020_Only>
    <FID xmlns="df873bd8-8520-468a-8ecb-74db49e47217">6785</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5DBA91FE-3AA2-4715-8E9D-F9C320D437C0}"/>
</file>

<file path=customXml/itemProps2.xml><?xml version="1.0" encoding="utf-8"?>
<ds:datastoreItem xmlns:ds="http://schemas.openxmlformats.org/officeDocument/2006/customXml" ds:itemID="{577B5CF9-1CDF-4256-A65F-D2A7C32AC663}"/>
</file>

<file path=customXml/itemProps3.xml><?xml version="1.0" encoding="utf-8"?>
<ds:datastoreItem xmlns:ds="http://schemas.openxmlformats.org/officeDocument/2006/customXml" ds:itemID="{527B8611-1840-47E4-B0CF-D1FF4EEE5C0F}"/>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