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19/101 9.57/1.64 PID 102817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resurface State Route 19 from the Republic east corporation line to State Route 228 and State Route 101 from the Tiffin east corporation line to County Road 38. Additional work includes minor maintenance on several bridges on both State Routes 19 and 101 as well as a culvert replacement on State Route 101 near County Road 13.  Approximately 0.09 acres of right of permanent right of way will be acquired from 2 residential properties to accommodate the replacement of the culvert. </w:t>
      </w:r>
      <w:r>
        <w:rPr>
          <w:rStyle w:val="DefaultParagraphFont"/>
          <w:rFonts w:ascii="Calibri" w:eastAsia="Calibri" w:hAnsi="Calibri" w:cs="Calibri"/>
          <w:shd w:val="solid" w:color="FFFFFF" w:fill="auto"/>
        </w:rPr>
        <w:t>There are below ground utilities that will need to be relocated prior to construction.</w:t>
      </w:r>
      <w:r>
        <w:rPr>
          <w:rStyle w:val="DefaultParagraphFont"/>
          <w:rFonts w:ascii="Calibri" w:eastAsia="Calibri" w:hAnsi="Calibri" w:cs="Calibri"/>
          <w:shd w:val="solid" w:color="FFFFFF" w:fill="auto"/>
        </w:rPr>
        <w:t xml:space="preserve">  Portions of this project are located within a special flood hazard area, however the District 2 Hydraulic Engineer determined that there would be no impact on the floodplain and that no permit is </w:t>
      </w:r>
      <w:r>
        <w:rPr>
          <w:rStyle w:val="DefaultParagraphFont"/>
          <w:rFonts w:ascii="Calibri" w:eastAsia="Calibri" w:hAnsi="Calibri" w:cs="Calibri"/>
          <w:shd w:val="solid" w:color="FFFFFF" w:fill="auto"/>
        </w:rPr>
        <w:t>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A permit</w:t>
      </w:r>
      <w:r>
        <w:rPr>
          <w:rStyle w:val="DefaultParagraphFont"/>
          <w:rFonts w:ascii="Calibri" w:eastAsia="Calibri" w:hAnsi="Calibri" w:cs="Calibri"/>
          <w:shd w:val="solid" w:color="FFFFFF" w:fill="auto"/>
        </w:rPr>
        <w:t xml:space="preserve"> from the US Army Corps of Engineers has been acquired for the culvert replacement near County Road 13</w:t>
      </w:r>
      <w:r>
        <w:rPr>
          <w:rStyle w:val="DefaultParagraphFont"/>
          <w:rFonts w:ascii="Calibri" w:eastAsia="Calibri" w:hAnsi="Calibri" w:cs="Calibri"/>
          <w:shd w:val="solid" w:color="FFFFFF" w:fill="auto"/>
        </w:rPr>
        <w:t>.</w:t>
      </w:r>
      <w:r>
        <w:rPr>
          <w:rStyle w:val="DefaultParagraphFont"/>
          <w:rFonts w:ascii="Calibri" w:eastAsia="Calibri" w:hAnsi="Calibri" w:cs="Calibri"/>
          <w:shd w:val="solid" w:color="FFFFFF" w:fill="auto"/>
        </w:rPr>
        <w:t> </w:t>
      </w:r>
      <w:r>
        <w:rPr>
          <w:rStyle w:val="DefaultParagraphFont"/>
          <w:rFonts w:ascii="Calibri" w:eastAsia="Calibri" w:hAnsi="Calibri" w:cs="Calibri"/>
        </w:rPr>
        <w:t xml:space="preserve">A plan note will be added to the plans in order to establish protection measures for the drinking water sources in the project area. Construction is expected to begin the summer of 2018 and last approximately 90 days. During construction, a minimum of one lane on State Routes 19 and 101 will be maintained at all times with the exception of two separate 45 day closures of State Route 101 at Willow Creek and the culvert near County Road 13. A detour will be posted for these closures. Affected property owners, tenants, public safety officials and schools have been notified of the closures.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Regional General Permit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01/31/2017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04/06/2017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SEN-101-2.28 culvert over Stream 1 (unnamed tributary to Morrison Creek).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requires a waterway permit for work within Stream 1 (tributary of Morrison Creek) (STA 119+23.8) which is attached to the plans as Special Provisions that shall be followed throughout construction by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5.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is permitted below the top of bank of any stream, except the SEN-101-2.28 culvert over Stream 1 (unnamed tributary to Morrison Creek).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requires a waterway permit for work within Stream 1 (tributary of Morrison Creek) (STA 119+23.8) which is attached to the plans as Special Provisions that shall be followed throughout construction by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22,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Section 4(f)</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 - de minimis.pdf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SHPO - No Adverse Effect.pdf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signed by SHPO.pdf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SEN-101-2.3 PID 102817.pdf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102817 SEN SR 19/101 9.57/1.64</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102817 SEN SR 19/101 9.57/1.64</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102817 SEN SR 19/101 9.57/1.64</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102817 SEN SR 19/101 9.57/1.64</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102817 SEN SR 19/101 9.57/1.64</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2017-06-23T04:00:00+00:00</DateCompleted>
    <Internal_x0020_Only xmlns="df873bd8-8520-468a-8ecb-74db49e47217">No</Internal_x0020_Only>
    <FID xmlns="df873bd8-8520-468a-8ecb-74db49e47217">7091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D779B0C-8A49-4CBE-B066-74A145022B9C}"/>
</file>

<file path=customXml/itemProps2.xml><?xml version="1.0" encoding="utf-8"?>
<ds:datastoreItem xmlns:ds="http://schemas.openxmlformats.org/officeDocument/2006/customXml" ds:itemID="{9C602CE0-A4B5-428A-A3AB-6E9666C5D0CA}"/>
</file>

<file path=customXml/itemProps3.xml><?xml version="1.0" encoding="utf-8"?>
<ds:datastoreItem xmlns:ds="http://schemas.openxmlformats.org/officeDocument/2006/customXml" ds:itemID="{9BF37C2E-D3EA-471E-810E-865A4C693C66}"/>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