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US 6 23.43 Resurf PID 95769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TheOhio Department of Transportation is proposing to resurface US Route 6 in SanduskyCounty from County Road 232 to the Erie County line. Additional work includesminor maintenance (replace deck edges and guardrail, waterproofing, pileencasements and patching) on several bridges which will require temporary closures/detours. Below is the list of bridge locations and the expected closure durations.</w:t>
      </w:r>
    </w:p>
    <w:p>
      <w:pPr>
        <w:pStyle w:val="Normal1"/>
        <w:numPr>
          <w:ilvl w:val="0"/>
          <w:numId w:val="18"/>
        </w:numPr>
        <w:spacing w:after="0" w:afterAutospacing="0"/>
        <w:rPr>
          <w:rStyle w:val="DefaultParagraphFont"/>
          <w:rFonts w:ascii="Calibri" w:eastAsia="Calibri" w:hAnsi="Calibri" w:cs="Calibri"/>
          <w:shd w:val="solid" w:color="FFFF00" w:fill="auto"/>
        </w:rPr>
      </w:pPr>
      <w:r>
        <w:rPr>
          <w:rStyle w:val="DefaultParagraphFont"/>
          <w:rFonts w:ascii="Calibri" w:eastAsia="Calibri" w:hAnsi="Calibri" w:cs="Calibri"/>
          <w:shd w:val="solid" w:color="FFFFFF" w:fill="auto"/>
        </w:rPr>
        <w:t>SAN-6-22.72(between Schiets Rd and Jacobs Rd)- 30 days</w:t>
      </w:r>
    </w:p>
    <w:p>
      <w:pPr>
        <w:pStyle w:val="Normal1"/>
        <w:numPr>
          <w:ilvl w:val="0"/>
          <w:numId w:val="18"/>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SAN-6-24.64(between Polter Rd and Minier Rd)- 21 days</w:t>
      </w:r>
    </w:p>
    <w:p>
      <w:pPr>
        <w:pStyle w:val="Normal1"/>
        <w:numPr>
          <w:ilvl w:val="0"/>
          <w:numId w:val="18"/>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SAN-6-25.24(between Minier Rd and SR 510)- 30 days</w:t>
      </w:r>
    </w:p>
    <w:p>
      <w:pPr>
        <w:pStyle w:val="Normal1"/>
        <w:numPr>
          <w:ilvl w:val="0"/>
          <w:numId w:val="18"/>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SAN-6-25.77(between SR 510 and CR 256)- 30 days</w:t>
      </w:r>
    </w:p>
    <w:p>
      <w:pPr>
        <w:pStyle w:val="Normal1"/>
        <w:numPr>
          <w:ilvl w:val="0"/>
          <w:numId w:val="18"/>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SAN-6-27.18(between CR 260 and CR 268/N Vickery Rd)- 3 days</w:t>
      </w:r>
    </w:p>
    <w:p>
      <w:pPr>
        <w:pStyle w:val="Normal1"/>
        <w:numPr>
          <w:ilvl w:val="0"/>
          <w:numId w:val="18"/>
        </w:numPr>
        <w:spacing w:after="280" w:afterAutospacing="1"/>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SAN-6-29.65(between CR 290 and CR 294)- 3 days</w:t>
      </w:r>
    </w:p>
    <w:p>
      <w:pPr>
        <w:pStyle w:val="Normal1"/>
        <w:spacing w:after="280" w:afterAutospacing="1"/>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 xml:space="preserve">All impacted property owners, local public safety agencies, and schools have been notified of these closures. The work on some of the bridges does require a permit from the US Army Corps of Engineers, which has already been acquired. This project also required coordination with the local floodplain administrator due to the work impacting several floodplains. All NFIP and EO 11988 regulations have been followed and all documentation is in the project file. Notes to project several state or federally listed species will be added to the plans to ensure that there will be no impacts. No historically significant resources will be impacted by this project. Construction is expected to begin in the summer of 2018 and the resurfacing will last approximately 160 days and all bridge closures will happen during those 160 days. A minimum of one lane of traffic will be maintained at all times with the exception of the bridge closures noted above. </w:t>
      </w:r>
    </w:p>
    <w:p>
      <w:pPr>
        <w:pStyle w:val="Normal1"/>
        <w:spacing w:after="280" w:afterAutospacing="1"/>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This document was approved using Stage 2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In accordance with 23 CFR 771.117(e), the proposed project cannot be processed as a C2 CE, if it involves -</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a. Acquisition of more than a minor amount of right-of-way</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b. Residential or non-residential displacements</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c. A Coast Guard, Individual Section 404 and/or a Section 10 permit</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d. A Section 106 finding of Adverse Effect</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e. A Section 4(f) Programmatic or Individual Evaluation</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f. A finding of May Affect, Likely to Adversely Affect to Threatened and Endangered Species</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g. Construction of temporary access, or the closure of existing road, bridge, or ramps, that would result in major traffic disruptions</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h. Changes in access control</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i. Floodplain encroachment other than functionally dependent uses (e.g., bridges, wetlands) or actions that facilitate open space use (e.g., recreational trails, bicycle and pedestrian paths)</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j. Construction activities in, across or adjacent to a river component designated or proposed for inclusion in the National System of Wild and Scenic Rivers</w:t>
      </w:r>
    </w:p>
    <w:p>
      <w:pPr>
        <w:pStyle w:val="Normal1"/>
        <w:numPr>
          <w:ilvl w:val="0"/>
          <w:numId w:val="19"/>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k. No minor public or agency controversy on environmental grounds (no opposition from any organized groups or agencies and no unresolved environmental coordination)</w:t>
      </w:r>
    </w:p>
    <w:p>
      <w:pPr>
        <w:pStyle w:val="Normal1"/>
        <w:numPr>
          <w:ilvl w:val="0"/>
          <w:numId w:val="19"/>
        </w:numPr>
        <w:spacing w:after="280" w:afterAutospacing="1"/>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br/>
      </w:r>
      <w:r>
        <w:rPr>
          <w:rStyle w:val="DefaultParagraphFont"/>
          <w:rFonts w:ascii="Calibri" w:eastAsia="Calibri" w:hAnsi="Calibri" w:cs="Calibri"/>
          <w:shd w:val="solid" w:color="FFFFFF" w:fill="auto"/>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hd w:val="solid" w:color="FFFFFF" w:fill="auto"/>
              </w:rPr>
            </w:pPr>
            <w:r>
              <w:rPr>
                <w:rStyle w:val="DefaultParagraphFont"/>
                <w:rFonts w:ascii="Calibri" w:eastAsia="Calibri" w:hAnsi="Calibri" w:cs="Calibri"/>
                <w:b/>
                <w:sz w:val="24"/>
                <w:szCs w:val="24"/>
                <w:shd w:val="solid" w:color="FFFFFF" w:fill="auto"/>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hd w:val="solid" w:color="FFFFFF" w:fill="auto"/>
              </w:rPr>
            </w:pPr>
            <w:r>
              <w:rPr>
                <w:rStyle w:val="DefaultParagraphFont"/>
                <w:rFonts w:ascii="Calibri" w:eastAsia="Calibri" w:hAnsi="Calibri" w:cs="Calibri"/>
                <w:b w:val="0"/>
                <w:sz w:val="24"/>
                <w:szCs w:val="24"/>
                <w:shd w:val="solid" w:color="FFFFFF" w:fill="auto"/>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hd w:val="solid" w:color="FFFFFF" w:fill="auto"/>
              </w:rPr>
            </w:pPr>
            <w:r>
              <w:rPr>
                <w:rStyle w:val="DefaultParagraphFont"/>
                <w:rFonts w:ascii="Calibri" w:eastAsia="Calibri" w:hAnsi="Calibri" w:cs="Calibri"/>
                <w:b/>
                <w:sz w:val="24"/>
                <w:szCs w:val="24"/>
                <w:shd w:val="solid" w:color="FFFFFF" w:fill="auto"/>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shd w:val="solid" w:color="FFFFFF" w:fill="auto"/>
              </w:rPr>
            </w:pPr>
            <w:r>
              <w:rPr>
                <w:rStyle w:val="DefaultParagraphFont"/>
                <w:rFonts w:ascii="Calibri" w:eastAsia="Calibri" w:hAnsi="Calibri" w:cs="Calibri"/>
                <w:b w:val="0"/>
                <w:sz w:val="24"/>
                <w:szCs w:val="24"/>
                <w:shd w:val="solid" w:color="FFFFFF" w:fill="auto"/>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06/15/2017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shd w:val="solid" w:color="FFFFFF" w:fill="auto"/>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Parts 642-8 and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for SAN-6-25.24 over Raccoon Creek (STA. 1328) and SAN-6-25.76 over Little Raccoon Creek (STA. 1356).</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requires a waterway permit for work within the SAN-6-25.24 over Raccoon Creek (STA. 1328) and SAN-6-25.76 over Little Raccoon Creek (STA. 1356) which is attached to the plans as Special Provisions that shall be followed throughout construction by the contractor.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 A mussel survey and, if necessary, relocation shall occur at SAN-6-25.24 over Raccoon Creek in accordance with ODNR and USFWS protocols.  No in-stream work shall occur prior to the mussel survey/relocation.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required mussel relocation was completed in August 2017.</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If any turtles are found within the project work limits, crews shall wait until the species has moved off of the project site unharmed before work can continue.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To minimize impacts to the Kirtland's warbler during migration, the contractor shall not remove trees and brush located within 3 miles of the Lake Erie shoreline between April 22nd and June 1st or between August 15th and October 15th. If this species is encountered within the construction limits during construction operations, all construction operations will cease and the USFWS Columbus Field Office be notified immediately (614-416-8993). Activity will not resume until coordination with USFWS has been concluded.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Parts 642-8 and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for SAN-6-25.24 over Raccoon Creek (STA. 1328) and SAN-6-25.76 over Little Raccoon Creek (STA. 1356).</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requires a waterway permit for work within the SAN-6-25.24 over Raccoon Creek (STA. 1328) and SAN-6-25.76 over Little Raccoon Creek (STA. 1356) which is attached to the plans as Special Provisions that shall be followed throughout construction by the contractor.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 A mussel survey and, if necessary, relocation shall occur at SAN-6-25.24 over Raccoon Creek in accordance with ODNR and USFWS protocols.  No in-stream work shall occur prior to the mussel survey/relocation.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required mussel relocation was completed in August 2017.</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If any turtles are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To minimize impacts to the Kirtland's warbler during migration, the contractor shall not remove trees and brush located within 3 miles of the Lake Erie shoreline between April 22nd and June 1st or between August 15th and October 15th. If this species is encountered within the construction limits during construction operations, all construction operations will cease and the USFWS Columbus Field Office be notified immediately (614-416-8993). Activity will not resume until coordination with USFWS has been concluded.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SAN-6-23.43 PID 95769.pdf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SAN-6-23 43 PID 95769.pdf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Mussel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Mussel Survey Concurrance.pdf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Pre-Construction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Approval - Section 404.pdf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Reginal General Permit.pdf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Notification- LD 52.pdf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Reponses.pdf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Compliance - ODOT Form LD-51.pdf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95769 SAN US 6 23.43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95769 SAN US 6 23.43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95769 SAN US 6 23.43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95769 SAN US 6 23.43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95769 SAN US 6 23.43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2017-10-05T04:00:00+00:00</DateCompleted>
    <Internal_x0020_Only xmlns="df873bd8-8520-468a-8ecb-74db49e47217">No</Internal_x0020_Only>
    <FID xmlns="df873bd8-8520-468a-8ecb-74db49e47217">7216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C5D6C87-E4F3-4579-8FFC-756662166690}"/>
</file>

<file path=customXml/itemProps2.xml><?xml version="1.0" encoding="utf-8"?>
<ds:datastoreItem xmlns:ds="http://schemas.openxmlformats.org/officeDocument/2006/customXml" ds:itemID="{976FB3B1-F4D5-4814-ADA9-F9CB572F5931}"/>
</file>

<file path=customXml/itemProps3.xml><?xml version="1.0" encoding="utf-8"?>
<ds:datastoreItem xmlns:ds="http://schemas.openxmlformats.org/officeDocument/2006/customXml" ds:itemID="{AD6F65DE-149A-456B-A660-498033D877B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