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280 3.47 VGCS lighting PID 102791</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30,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102791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replace the lighting communication equipment for the Veteran's Glass City Skyway (VGCS, Interstate 280) </w:t>
      </w:r>
      <w:r>
        <w:rPr>
          <w:rStyle w:val="DefaultParagraphFont"/>
          <w:rFonts w:ascii="Calibri" w:eastAsia="Calibri" w:hAnsi="Calibri" w:cs="Calibri"/>
          <w:shd w:val="solid" w:color="FFFFFF" w:fill="auto"/>
        </w:rPr>
        <w:t>bridge which is partially located within the Craig Street Bridge (the bridge just to the west). Additional work includes replacing lights inside and outside of the center pier of the VGCS and repositioning the lights within the median, which are explained in more detail as Alterative 3 for the tower lighting and Alternative 1 for the cable lighting in the study in the project file. No work will occur below the lowest portion of either bridge; however because this section of the Maumee River is considered a Section 9 and Section 10 water, waterway permitting coordination is being completed with the US Army Corps</w:t>
      </w:r>
      <w:r>
        <w:rPr>
          <w:rStyle w:val="DefaultParagraphFont"/>
          <w:rFonts w:ascii="Calibri" w:eastAsia="Calibri" w:hAnsi="Calibri" w:cs="Calibri"/>
        </w:rPr>
        <w:t xml:space="preserve"> of Engineers (USACE) and the US Coast Guard (USCG).  The work will occur above a floodplain but will have no impact. Construction is expected to begin in the summer of 2017. During construction, temporary single lane closures on I-280 and the Craig Street Bridge are expected; however pedestrian traffic shall be maintained at all times. A bald eagle nest is shown on the ecological map; however, because it is greater than 1,000 feet from the project area, the project does not require construction date restrictions required when the project is 660 feet or closer to the nest.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2016AM08ID0230FDCO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01/04/2017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3. Work on the structures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Pedestrian access shall be maintained at all times on the Craig Street Bridge. </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or LPA,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Coordination with the US Army Corps of Engineers (USACE) and US Coast Guard (USCG) to determine if waterway permitting is required, shall continue.  Should any waterway permits be required, they shall be acquired prior to the start of construction.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3. Work on the structures shall not be performed between the bridge deck and the water within the navigation channel.  Nothing shall change the vertical clearance height between the lowest portion of the bridge and the surface of the water within the navigational channel.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Pedestrian access shall be maintained at all times on the Craig Street Bridge. </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ODOT or LPA,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6. The contractor shall take all precautions to prevent any and all material from going off the edge of the bridge decks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Coordination with the US Army Corps of Engineers (USACE) and US Coast Guard (USCG) to determine if waterway permitting is required, shall continue.  Should any waterway permits be required, they shall be acquired prior to the start of construction.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Ohio endangered blue spotted salamander within the project area, if any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30,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Map.jpg</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Bridge Lighting Report.pdf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Permit Determination Request.pdf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11</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11</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102791 LUC 280 3.47 VGCS lighting</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102791 LUC 280 3.47 VGCS lighting</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102791 LUC 280 3.47 VGCS lighting</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102791 LUC 280 3.47 VGCS lighting</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102791 LUC 280 3.47 VGCS lighting</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30,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2017-01-30T05:00:00+00:00</DateCompleted>
    <Internal_x0020_Only xmlns="df873bd8-8520-468a-8ecb-74db49e47217">No</Internal_x0020_Only>
    <FID xmlns="df873bd8-8520-468a-8ecb-74db49e47217">7529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7D62719-48D2-47C8-BCB9-36C946BEDB8B}"/>
</file>

<file path=customXml/itemProps2.xml><?xml version="1.0" encoding="utf-8"?>
<ds:datastoreItem xmlns:ds="http://schemas.openxmlformats.org/officeDocument/2006/customXml" ds:itemID="{97AD1453-DEA1-4A70-AC9E-BB74F1E7F2BA}"/>
</file>

<file path=customXml/itemProps3.xml><?xml version="1.0" encoding="utf-8"?>
<ds:datastoreItem xmlns:ds="http://schemas.openxmlformats.org/officeDocument/2006/customXml" ds:itemID="{FEAEAA0E-D081-4482-83B9-642812ADD812}"/>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