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OTT TR 3 (OTT-LUC Co Line) FLAP PID 104495</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March 1,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104495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OTTAWA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Ottawa County Engineers Office is proposing to resurface Ottawa-Lucas Road in Ottawa County from State Route 2 to the entrance of the Ottawa National Wildlife Refuge due to poor pavement conditions. All work is within the exiting right of way. There will be no impacts to Waters of </w:t>
      </w:r>
      <w:r>
        <w:rPr>
          <w:rStyle w:val="DefaultParagraphFont"/>
          <w:rFonts w:ascii="Calibri" w:eastAsia="Calibri" w:hAnsi="Calibri" w:cs="Calibri"/>
          <w:shd w:val="solid" w:color="FFFFFF" w:fill="auto"/>
        </w:rPr>
        <w:t>the US or Waters of the State so no permits are required. This project is located within a floodplain and the required coordination has been completed, as shown in the project file. There will be no impacts to suitable habitat for any state or federally listed species found within half a mile of the project area. Construction is expected to begin in the summer of 2017.  During construction, one lane of traffic will be maintained at all times and</w:t>
      </w:r>
      <w:r>
        <w:rPr>
          <w:rStyle w:val="DefaultParagraphFont"/>
          <w:rFonts w:ascii="Calibri" w:eastAsia="Calibri" w:hAnsi="Calibri" w:cs="Calibri"/>
        </w:rPr>
        <w:t xml:space="preserve"> access to the Wildlife Refuge will not be altered.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the Ottawa County Engineers Office a minimum of 18 days prior to beginning work, any major disruptive, time delaying traffic control changes, or detours during construction. Upon receipt of notice from the contractor, Ottawa County Engineers Office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the Ottawa County Engineers Office,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contractor shall take all precautions to prevent any and all material from going into waters, including but not limited to roadside ditches, streams, wetlands, or other waters, during all construction operations. The contractor shall immediately remove any material that falls into waters through non-mechanical means. Under no circumstances shall the contractor work in or store equipment and/or materials in any waters.  Any work below the Ordinary High Water Mark (OHWM) or within a wetland is a violation of the Federal Clean Water Act of 1972.   </w:t>
      </w:r>
    </w:p>
    <w:p>
      <w:pPr>
        <w:pStyle w:val="BodyText0"/>
        <w:keepNext/>
        <w:rPr>
          <w:rStyle w:val="DefaultParagraphFont"/>
          <w:rFonts w:ascii="Calibri" w:eastAsia="Calibri" w:hAnsi="Calibri" w:cs="Calibri"/>
        </w:rPr>
      </w:pPr>
      <w:r>
        <w:rPr>
          <w:rStyle w:val="DefaultParagraphFont"/>
          <w:rFonts w:ascii="Calibri" w:eastAsia="Calibri" w:hAnsi="Calibri" w:cs="Calibri"/>
        </w:rPr>
        <w:t>5.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6.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8. Due to the known presence of the melanistic garter snake within the project area, if any snake is found within the project work limits, crews shall wait until the species has moved off of the project site unharmed before work can continue.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the Ottawa County Engineers Office a minimum of 18 days prior to beginning work, any major disruptive, time delaying traffic control changes, or detours during construction. Upon receipt of notice from the contractor, Ottawa County Engineers Office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the Ottawa County Engineers Office,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contractor shall take all precautions to prevent any and all material from going into waters, including but not limited to roadside ditches, streams, wetlands, or other waters, during all construction operations. The contractor shall immediately remove any material that falls into waters through non-mechanical means. Under no circumstances shall the contractor work in or store equipment and/or materials in any waters.  Any work below the Ordinary High Water Mark (OHWM) or within a wetland is a violation of the Federal Clean Water Act of 1972.   </w:t>
      </w:r>
    </w:p>
    <w:p>
      <w:pPr>
        <w:pStyle w:val="BodyText1"/>
        <w:keepNext/>
        <w:rPr>
          <w:rStyle w:val="DefaultParagraphFont"/>
          <w:rFonts w:ascii="Calibri" w:eastAsia="Calibri" w:hAnsi="Calibri" w:cs="Calibri"/>
        </w:rPr>
      </w:pPr>
      <w:r>
        <w:rPr>
          <w:rStyle w:val="DefaultParagraphFont"/>
          <w:rFonts w:ascii="Calibri" w:eastAsia="Calibri" w:hAnsi="Calibri" w:cs="Calibri"/>
        </w:rPr>
        <w:t>5.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6.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8. Due to the known presence of the melanistic garter snake within the project area, if any snake is found within the project work limits, crews shall wait until the species has moved off of the project site unharmed before work can continue.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1,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1,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Map.bmp</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Map.jpg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Map.png</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Map.jpg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Local Floodplain Administrator Approval.pdf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104495 OTT TR 3 (OTT-LUC Co Line) FLAP</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104495 OTT TR 3 (OTT-LUC Co Line) FLAP</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104495 OTT TR 3 (OTT-LUC Co Line) FLAP</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104495 OTT TR 3 (OTT-LUC Co Line) FLAP</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104495 OTT TR 3 (OTT-LUC Co Line) FLAP</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1,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2017-03-01T05:00:00+00:00</DateCompleted>
    <Internal_x0020_Only xmlns="df873bd8-8520-468a-8ecb-74db49e47217">No</Internal_x0020_Only>
    <FID xmlns="df873bd8-8520-468a-8ecb-74db49e47217">7530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B5244385-4460-44D4-BD9C-606B175789AB}"/>
</file>

<file path=customXml/itemProps2.xml><?xml version="1.0" encoding="utf-8"?>
<ds:datastoreItem xmlns:ds="http://schemas.openxmlformats.org/officeDocument/2006/customXml" ds:itemID="{561AAA92-E584-4DCF-883E-D63896AA094D}"/>
</file>

<file path=customXml/itemProps3.xml><?xml version="1.0" encoding="utf-8"?>
<ds:datastoreItem xmlns:ds="http://schemas.openxmlformats.org/officeDocument/2006/customXml" ds:itemID="{098D3E1F-DA48-490A-9F12-6E8788AF886D}"/>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