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D04 GR FY2018 PID 104754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104754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guardrail maintenance and repairs, including barrier reflector replacement, along various routes throughout District 4.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has no Federal funding (100% State funded project), does not involve a Federal action and will be constructed within the existing highway/roadway rights-of-way.  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12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01/31/2017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COMMUNITY NOTIFICATION: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WILL ADVISE THE ODOT PROJECT ENGINEER A MINIMUM OF TWENTY-ONE (21) DAYS PRIOR TO THE START OF CONSTRUCTION ACTIVITIES.  THE CONTRACTOR MUST ALSO PROVIDE NOTIFICATION TO THE ODOT PROJECT ENGINEER A MINIMUM OF TWENTY-ONE (21) DAYS PRIOR TO ANY LANE RESTRICTIONS.  THE ODOT PROJECT ENGINEER WILL FORWARD THE INFORMATION TO THE ODOT, DISTRICT 4 OFFICE OF PUBLIC INFORMATION FOR USE TO NOTIFY EMERGENCY SERVICES, SCHOOL SYSTEMS AND COMMUNITIES A MINIMUM OF FOURTEEN (14) DAYS PRIOR TO THE START OF PROJECT CONSTRUCTION.  INCLUDED IN THIS NOTIFICATION WILL BE THE PROJECTED DATES OF ANY LANE RESTRICTIONS REQUIRED BY THE PROJECT.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13"/>
        <w:keepNext/>
        <w:rPr>
          <w:rStyle w:val="DefaultParagraphFont"/>
          <w:rFonts w:ascii="Calibri" w:eastAsia="Calibri" w:hAnsi="Calibri" w:cs="Calibri"/>
        </w:rPr>
      </w:pPr>
      <w:bookmarkStart w:id="9" w:name="_Toc256000008"/>
      <w:bookmarkEnd w:id="9"/>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104754 D04 GR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104754 D04 GR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104754 D04 GR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104754 D04 GR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104754 D04 GR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2017-02-02T05:00:00+00:00</DateCompleted>
    <Internal_x0020_Only xmlns="df873bd8-8520-468a-8ecb-74db49e47217">No</Internal_x0020_Only>
    <FID xmlns="df873bd8-8520-468a-8ecb-74db49e47217">7748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45601A9-63D7-471A-9150-6E030FF52A48}"/>
</file>

<file path=customXml/itemProps2.xml><?xml version="1.0" encoding="utf-8"?>
<ds:datastoreItem xmlns:ds="http://schemas.openxmlformats.org/officeDocument/2006/customXml" ds:itemID="{B4572F36-97AD-4F19-8601-31C3B0DAAC09}"/>
</file>

<file path=customXml/itemProps3.xml><?xml version="1.0" encoding="utf-8"?>
<ds:datastoreItem xmlns:ds="http://schemas.openxmlformats.org/officeDocument/2006/customXml" ds:itemID="{DC7DA591-2D02-4C85-80FA-61AB4AB0C30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