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POR SR 0303 02.71 PID 94133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94133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(ODOT)proposes to mill, repair and resurface 2.27 miles of State Route (SR) 303 fromSR 14 at Straight Line Mile (SLM) 2.71 to the east corporation limit at SLM 4.98 inthe city of Streetsboro, Portage County, Ohio.  One 10-foot bidirectional lane, at a minimum, will be maintained on SR 303 at all times during pavement repair/resurfacing activities.  All work shall be performedwithin existing roadway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While theproject is located within 1,000 feet of the designated State Scenic section ofthe Upper Cuyahoga River, the project study area is located entirely within thecity of Streetsboro.  The proposed transportation improvement meets the Tier IIIMinor Maintenance definition contained in the Memorandum of Agreement BetweenThe Ohio Department of Transportation and the Ohio Department of Natural Resources(Division of Watercraft) For Project Coordination On Ohio's State Wild, Scenicand Recreational River (Agreement Number 11323) and conforms with all Tier III MinorMaintenance conditions as outlined in the Memorandum of Agreement (MOA).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Projectinformation was submitted to Matthew Smith, NE Ohio Assistant Regional ScenicRiver Manager, Ohio Department of Natural Resources (ODNR) Division ofWatercraft, by electronic mail correspondence, dated June 17, 2016.  No comments or questions were received from Matthew Smith as aresult of the electronic mail correspondence, dated June 17, 2016.  See</w:t>
      </w:r>
      <w:r>
        <w:rPr>
          <w:rStyle w:val="DefaultParagraphFont"/>
          <w:rFonts w:ascii="Calibri" w:eastAsia="Calibri" w:hAnsi="Calibri" w:cs="Calibri"/>
        </w:rPr>
        <w:t xml:space="preserve"> </w:t>
      </w:r>
      <w:r>
        <w:rPr>
          <w:rStyle w:val="DefaultParagraphFont"/>
          <w:rFonts w:ascii="Calibri" w:eastAsia="Calibri" w:hAnsi="Calibri" w:cs="Calibri"/>
        </w:rPr>
        <w:t xml:space="preserve">electronicmail correspondence, dated June 17, 2016,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As specifiedin the MOA, project notification, to include detailed construction planinformation, shall be submitted to the Ohio Assistant Regional Scenic RiverManager a minimum of 15 calendar days prior to commencement of work.  All comments received as a result of the projectnotification shall be addressed prior to project construction.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Based on theproposed scope of work, the project is exempt from National Flood InsuranceProgram (NFIP) and EO 11988 flood plain analysis.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 resources 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01/10/2017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As specified in the Memorandum of Agreement Between The Ohio Department of Transportation and the Ohio Department of Natural Resources (Division of Watercraft) For Project Coordination On Ohio's State Wild, Scenic and Recreational River (Agreement Number 11323), project notification, to include detailed construction plan information, shall be submitted to the Ohio Assistant Regional Scenic River Manager a minimum of 15 calendar days prior to commencement of work.  All comments received as a result of the project notification shall be addressed prior to project construction.</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ODOT Traffic Engineering Manual notes 642-58 Notification of Traffic Restrictions and, if applicable, 642-8 Item 614, Maintaining Traffic (Notice of Closure Sign) shall be incorporated into the project construction plan.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As specified in the Memorandum of Agreement Between The Ohio Department of Transportation and the Ohio Department of Natural Resources (Division of Watercraft) For Project Coordination On Ohio's State Wild, Scenic and Recreational River (Agreement Number 11323), project notification, to include detailed construction plan information, shall be submitted to the Ohio Assistant Regional Scenic River Manager a minimum of 15 calendar days prior to commencement of work.  All comments received as a result of the project notification shall be addressed prior to project construction.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ODNR.pdf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94133 POR SR 0303 02.71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94133 POR SR 0303 02.71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94133 POR SR 0303 02.71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94133 POR SR 0303 02.71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94133 POR SR 0303 02.71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2017-03-07T05:00:00+00:00</DateCompleted>
    <Internal_x0020_Only xmlns="df873bd8-8520-468a-8ecb-74db49e47217">No</Internal_x0020_Only>
    <FID xmlns="df873bd8-8520-468a-8ecb-74db49e47217">7784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58557CA-48D0-468C-91BE-867FE7182543}"/>
</file>

<file path=customXml/itemProps2.xml><?xml version="1.0" encoding="utf-8"?>
<ds:datastoreItem xmlns:ds="http://schemas.openxmlformats.org/officeDocument/2006/customXml" ds:itemID="{A00892F7-5D7B-412F-BB75-FA4018A4BF6E}"/>
</file>

<file path=customXml/itemProps3.xml><?xml version="1.0" encoding="utf-8"?>
<ds:datastoreItem xmlns:ds="http://schemas.openxmlformats.org/officeDocument/2006/customXml" ds:itemID="{CB06E97D-29DF-4B38-BEA7-EF03E06604D1}"/>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