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FUL SR 66 3.97 resurfacing PID 102801</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June 2,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102801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shd w:val="solid" w:color="FFFFFF" w:fill="auto"/>
        </w:rPr>
        <w:t>This project proposes to resurface State Route 66 from State Route 2 to US Route 20A and from County Road J to US Route 20. Additional work includes waterproofing and guardrail replacement on several structures on State Route 66. All work is located within the existing right of way and there will be no impacts to utilities. No US Army Corps of Engineers permits are required</w:t>
      </w:r>
      <w:r>
        <w:rPr>
          <w:rStyle w:val="DefaultParagraphFont"/>
          <w:rFonts w:ascii="Calibri" w:eastAsia="Calibri" w:hAnsi="Calibri" w:cs="Calibri"/>
          <w:shd w:val="solid" w:color="FFFFFF" w:fill="auto"/>
        </w:rPr>
        <w:t xml:space="preserve">. </w:t>
      </w:r>
      <w:r>
        <w:rPr>
          <w:rStyle w:val="DefaultParagraphFont"/>
          <w:rFonts w:ascii="Calibri" w:eastAsia="Calibri" w:hAnsi="Calibri" w:cs="Calibri"/>
          <w:shd w:val="solid" w:color="FFFFFF" w:fill="auto"/>
        </w:rPr>
        <w:t>This project is located within a special flood hazard area but there will be no impacts to the floodplain. A</w:t>
      </w:r>
      <w:r>
        <w:rPr>
          <w:rStyle w:val="DefaultParagraphFont"/>
          <w:rFonts w:ascii="Calibri" w:eastAsia="Calibri" w:hAnsi="Calibri" w:cs="Calibri"/>
          <w:shd w:val="solid" w:color="FFFFFF" w:fill="auto"/>
        </w:rPr>
        <w:t xml:space="preserve"> plan note will be added to the plans in order to establish protection measures for the drinking water sources in the project area. Construction is expected to begin the summer of 2018 and last approximately 120 days. During construction, a minimum of one lane on State Route 66 will be maintained at all times with the exception of a 5 day closure of the structure over Mill Creek and a 45 day closure of the structure over Stag Run. Affected property owners, tenants, public safety officials and schools have been notified of the closures.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Notes shall be placed in the plans by ODOT directing the contractor to comply with the notification requirement timeframes outlined in the Traffic Engineering Manual Part 642-8 and 642-58 to ensure compliance with Federal notification requirements.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pPr>
      <w:r>
        <w:rPr>
          <w:rStyle w:val="DefaultParagraphFont"/>
          <w:rFonts w:ascii="Calibri" w:eastAsia="Calibri" w:hAnsi="Calibri" w:cs="Calibri"/>
        </w:rPr>
        <w:t>4.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5. A plan note will be added to the construction plans in order to address the project's location in relation to the drinking water source.</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Notes shall be placed in the plans by ODOT directing the contractor to comply with the notification requirement timeframes outlined in the Traffic Engineering Manual Part 642-8 and 642-58 to ensure compliance with Federal notification requirements.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pPr>
      <w:r>
        <w:rPr>
          <w:rStyle w:val="DefaultParagraphFont"/>
          <w:rFonts w:ascii="Calibri" w:eastAsia="Calibri" w:hAnsi="Calibri" w:cs="Calibri"/>
        </w:rPr>
        <w:t>4.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5. A plan note will be added to the construction plans in order to address the project's location in relation to the drinking water source.</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Eli Barber, </w:t>
            </w:r>
            <w:r>
              <w:rPr>
                <w:rStyle w:val="DefaultParagraphFont"/>
                <w:b w:val="0"/>
                <w:sz w:val="24"/>
                <w:szCs w:val="24"/>
                <w:lang w:val="en-US" w:eastAsia="en-US" w:bidi="ar-SA"/>
              </w:rPr>
              <w:t xml:space="preserve">Phoenix Golnick Neal, </w:t>
            </w:r>
            <w:r>
              <w:rPr>
                <w:rStyle w:val="DefaultParagraphFont"/>
                <w:b w:val="0"/>
                <w:sz w:val="24"/>
                <w:szCs w:val="24"/>
                <w:lang w:val="en-US" w:eastAsia="en-US" w:bidi="ar-SA"/>
              </w:rPr>
              <w:t>Stacy Schimmoeller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June 2,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June 2,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Drinking Water Protection Plan Note.pdf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EMA and School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Notification Mailing List.pdf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Impacts.pdf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12</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12</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102801 FUL SR 66 3.97 resurfacing</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102801 FUL SR 66 3.97 resurfacing</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102801 FUL SR 66 3.97 resurfacing</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102801 FUL SR 66 3.97 resurfacing</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102801 FUL SR 66 3.97 resurfacing</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2017-06-02T04:00:00+00:00</DateCompleted>
    <Internal_x0020_Only xmlns="df873bd8-8520-468a-8ecb-74db49e47217">No</Internal_x0020_Only>
    <FID xmlns="df873bd8-8520-468a-8ecb-74db49e47217">7808</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3B86C141-F6C6-4A33-AD24-048A5D0A0507}"/>
</file>

<file path=customXml/itemProps2.xml><?xml version="1.0" encoding="utf-8"?>
<ds:datastoreItem xmlns:ds="http://schemas.openxmlformats.org/officeDocument/2006/customXml" ds:itemID="{09366D62-1FAF-4103-A66B-8A70A7A96F35}"/>
</file>

<file path=customXml/itemProps3.xml><?xml version="1.0" encoding="utf-8"?>
<ds:datastoreItem xmlns:ds="http://schemas.openxmlformats.org/officeDocument/2006/customXml" ds:itemID="{FE9FCC85-2E08-4E88-87E7-A558EF8F3609}"/>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