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PM FY2018 (West) PID 104759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104759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apply new pavement markings onvarious State, Interstate and U. S. Routes under ODOT jurisdiction in Portage,Stark and Summit Counties.  A minimum ofone 10-foot lane will be maintained at all times on each route during the pavement marking application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roadway/highway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Existingutilities will not be removed or relocated to construct the proposedproject.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32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 - Portage.jpg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 - Summit.jpg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 - Stark.jpg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104759 D04 PM FY2018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104759 D04 PM FY2018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104759 D04 PM FY2018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104759 D04 PM FY2018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104759 D04 PM FY2018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2017-09-26T04:00:00+00:00</DateCompleted>
    <Internal_x0020_Only xmlns="df873bd8-8520-468a-8ecb-74db49e47217">No</Internal_x0020_Only>
    <FID xmlns="df873bd8-8520-468a-8ecb-74db49e47217">7819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BA2744A-FA04-4F89-90D8-79B2521D8374}"/>
</file>

<file path=customXml/itemProps2.xml><?xml version="1.0" encoding="utf-8"?>
<ds:datastoreItem xmlns:ds="http://schemas.openxmlformats.org/officeDocument/2006/customXml" ds:itemID="{F7177A53-DC46-474E-AE59-69D4E0CC898C}"/>
</file>

<file path=customXml/itemProps3.xml><?xml version="1.0" encoding="utf-8"?>
<ds:datastoreItem xmlns:ds="http://schemas.openxmlformats.org/officeDocument/2006/customXml" ds:itemID="{E32DA62E-46CF-4363-8F6D-91D201DA4EF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