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webSettings.xml" ContentType="application/vnd.openxmlformats-officedocument.wordprocessingml.webSettings+xml"/>
  <Override PartName="/docProps/custom.xml" ContentType="application/vnd.openxmlformats-officedocument.custom-properties+xml"/>
  <Override PartName="/word/document.xml" ContentType="application/vnd.openxmlformats-officedocument.wordprocessingml.document.main+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LUC VGCS FY18 Maint PID 104115</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May 23,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5</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8</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104115</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 PRODUCTION</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Non-Federal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This project is a maintenance contract for the LUC-280 (Veterans Glass City Skyway) Bridge over the Maumee River. The work does not require any US Army Corps of Engineer permit or coordination with the US Coast Guard since there is no work below the deck of any bridge.</w:t>
      </w:r>
      <w:r>
        <w:rPr>
          <w:rStyle w:val="DefaultParagraphFont"/>
          <w:rFonts w:ascii="Calibri" w:eastAsia="Calibri" w:hAnsi="Calibri" w:cs="Calibri"/>
          <w:shd w:val="solid" w:color="FFFFFF" w:fill="auto"/>
        </w:rPr>
        <w:t xml:space="preserve"> This project is located within a special flood hazard area, however there will be no impacts to the floodplain. </w:t>
      </w:r>
      <w:r>
        <w:rPr>
          <w:rStyle w:val="DefaultParagraphFont"/>
          <w:rFonts w:ascii="Calibri" w:eastAsia="Calibri" w:hAnsi="Calibri" w:cs="Calibri"/>
        </w:rPr>
        <w:t>All work is within the existing right of way and there will be no utility impacts. Navigational lighting on the bridge will remain on and visible throughout construction. The contract begins in January of 2018 and is on-going January of 2019. During maintenance activities, lane closures on the bridges are possible. A minimum of one lane of traffic will be maintained at all times.</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SLI 12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08/29/2012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(1) Activities which do not involve or lead directly to construction, such as planning and technical studies; grants for training; engineering to define the elements of a proposed action or alternatives so that social, economic, and environmental effects can be assessed; and Federal-aid system revisions which establish classes of highways on the Federal-aid highway system. </w:t>
            </w:r>
            <w:r>
              <w:rPr>
                <w:rStyle w:val="DefaultParagraphFont"/>
                <w:b/>
                <w:i/>
                <w:sz w:val="24"/>
                <w:szCs w:val="24"/>
                <w:lang w:val="en-US" w:eastAsia="en-US" w:bidi="ar-SA"/>
              </w:rPr>
              <w:t>Examples include: Study type projects (i.e. feasibility studies, etc.); Projects that utilize no federal monies or require no federal actions (State-funded actions only); Land donations to ODOT associated with ROW permits (non-NHS/non-Limited Access right-of-way). (Environmental Site Assessment issues will require coordination with ODOT-OES) (State-funded actions only).</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The contractor shall take all precautions to prevent any and all material from going off the edge of bridge deck(s) and edge of culvert(s)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No work or staging is permitted below the top of bank of any stream and/or within a wetland.</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2. Work on the structure over Section 9 and 10 water (Maumee River) shall not be performed between the bridge deck and the water within the navigation channel.  Nothing shall change the vertical clearance height between the lowest portion of the bridge and the surface of the water within the navigational channel.      </w:t>
      </w: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3. Due to the known presence of Ohio endangered blue spotted salamander within the project area, if any salamander is found within the project work limits, crews shall wait until the species has moved off of the project site unharmed before work can continue.            </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The contractor shall take all precautions to prevent any and all material from going off the edge of bridge deck(s) and edge of culvert(s)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No work or staging is permitted below the top of bank of any stream and/or within a wetland.</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2. Work on the structure over Section 9 and 10 water (Maumee River) shall not be performed between the bridge deck and the water within the navigation channel.  Nothing shall change the vertical clearance height between the lowest portion of the bridge and the surface of the water within the navigational channel.      </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3. Due to the known presence of Ohio endangered blue spotted salamander within the project area, if any salamander is found within the project work limits, crews shall wait until the species has moved off of the project site unharmed before work can continue.            </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Phoenix Golnick Neal ENV SPEC 2</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May 23,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Phoenix Golnick Neal ENV SPEC 2</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May 23,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2 Design.pdf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ESA</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Screening Map.pdf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Cultural Resources</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Buckeye Assets Mapping.pdf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Project Study Area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Minimum Potential to Cause Effects - A.pdf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Ecological</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Eco Map.pdf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Other Resources</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Permits</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Permit Determination Request.pdf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USCG Comments.pdf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USACE Comments.pdf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Permit Determination.pdf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Floodplain Impacts.pdf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9</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9</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104115 LUC VGCS FY18 Maint</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23,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104115 LUC VGCS FY18 Maint</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23,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104115 LUC VGCS FY18 Maint</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23,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104115 LUC VGCS FY18 Maint</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23,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104115 LUC VGCS FY18 Maint</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23,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2017-05-23T04:00:00+00:00</DateCompleted>
    <Internal_x0020_Only xmlns="df873bd8-8520-468a-8ecb-74db49e47217">No</Internal_x0020_Only>
    <FID xmlns="df873bd8-8520-468a-8ecb-74db49e47217">7928</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1FD218ED-0B7B-4B7B-9C3D-127060CD6EF4}"/>
</file>

<file path=customXml/itemProps2.xml><?xml version="1.0" encoding="utf-8"?>
<ds:datastoreItem xmlns:ds="http://schemas.openxmlformats.org/officeDocument/2006/customXml" ds:itemID="{EF5F4320-8874-4926-A390-E0E658793FB2}"/>
</file>

<file path=customXml/itemProps3.xml><?xml version="1.0" encoding="utf-8"?>
<ds:datastoreItem xmlns:ds="http://schemas.openxmlformats.org/officeDocument/2006/customXml" ds:itemID="{306EF3B7-8167-4DBF-A031-F182B978DB9D}"/>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