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64 0.26 Urban Pav Wtrvil PID 101895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101895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Waterville, Village of (Lucas County)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Village of Waterville is currently proposing to resurface State Route 64 from River Road to the Anthony Wayne Trail and from the Anthony Wayne Trail to Waterville-Monclova Road. All work is within existing right of way and there will be no impacts to utilities. This project does not include impacts to any waterways or floodplains, therefore no US Army Corps of Engineers or floodplain permits are required. There will no impacts to any ecological or historically significant resources. Construction is expected to begin in the fall of 2018 and last approximately 45 days. During construction, one lane of traffic will be maintained at all times. Pedestrian traffic will also be maintained throughout construction.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Waterville directing the contractor to comply with the notification requirement timeframes outlined in the Traffic Engineering Manual Part 642-8 and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Waterville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Waterville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Waterville,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Access to Conrad Park shall be maintained at all times during construction by the City of Waterville and the contractor.</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Pedestrian access shall be maintained through the construction zone at all times by the City of Waterville and the contractor.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Waterville directing the contractor to comply with the notification requirement timeframes outlined in the Traffic Engineering Manual Part 642-8 and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Waterville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Waterville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Waterville,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Access to Conrad Park shall be maintained at all times during construction by the City of Waterville and the contractor.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Pedestrian access shall be maintained through the construction zone at all times by the City of Waterville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101895 LUC SR 64 0.26 Urban Pav Wtrvil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101895 LUC SR 64 0.26 Urban Pav Wtrvil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101895 LUC SR 64 0.26 Urban Pav Wtrvil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101895 LUC SR 64 0.26 Urban Pav Wtrvil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101895 LUC SR 64 0.26 Urban Pav Wtrvil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2017-09-15T04:00:00+00:00</DateCompleted>
    <Internal_x0020_Only xmlns="df873bd8-8520-468a-8ecb-74db49e47217">No</Internal_x0020_Only>
    <FID xmlns="df873bd8-8520-468a-8ecb-74db49e47217">8425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863880A-517E-492E-A342-ED60B2FA0B4C}"/>
</file>

<file path=customXml/itemProps2.xml><?xml version="1.0" encoding="utf-8"?>
<ds:datastoreItem xmlns:ds="http://schemas.openxmlformats.org/officeDocument/2006/customXml" ds:itemID="{A1A22607-0367-4D55-AA09-54404CDC4106}"/>
</file>

<file path=customXml/itemProps3.xml><?xml version="1.0" encoding="utf-8"?>
<ds:datastoreItem xmlns:ds="http://schemas.openxmlformats.org/officeDocument/2006/customXml" ds:itemID="{3EB3BA8E-0247-4866-9E61-323FECD99A5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