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D12-Ramp Meter Strategic Plan PID 105199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105199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12-TRAFFIC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Evaluate feasibility and potential candidate locations for ramp metering in the greater Cleveland region. 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N/A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06/01/2017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Land donations to ODOT associated with ROW permits (non-NHS/non-Limited Access right-of-way). (Environmental Site Assessment issues will require coordination with ODOT-OES).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105199 D12-Ramp Meter Strategic Plan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105199 D12-Ramp Meter Strategic Plan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105199 D12-Ramp Meter Strategic Plan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105199 D12-Ramp Meter Strategic Plan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105199 D12-Ramp Meter Strategic Plan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8474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E9185E36-D0F9-4D4D-B7A8-94012427F42D}"/>
</file>

<file path=customXml/itemProps2.xml><?xml version="1.0" encoding="utf-8"?>
<ds:datastoreItem xmlns:ds="http://schemas.openxmlformats.org/officeDocument/2006/customXml" ds:itemID="{4B5073A0-F0CE-4063-8A47-EAB401A6B61C}"/>
</file>

<file path=customXml/itemProps3.xml><?xml version="1.0" encoding="utf-8"?>
<ds:datastoreItem xmlns:ds="http://schemas.openxmlformats.org/officeDocument/2006/customXml" ds:itemID="{3059872A-024E-429C-AE94-628820D0C1A9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