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RPM FY2019 PID 101073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is an annual contract to replace raised pavement markers throughout the district. All work is within the right of way and there are no utility impacts. Several locations are within special flood hazard areas, however the district 2 hydraulic engineer determined that there would be no impacts to the floodplain. No permits from the US Army Corps of Engineers are required due to ne work within any waters of the US. There will be no impacts to any ecologically or historically significant resources due to this project. A plan note will be added to the plans to ensure that no earth is disturbed within the Oak Openings Region of Fulton and Lucas Counties so there will be no impacts to any state or federally listed plant species. Construction will begin in the spring of 2019 and last through the fall of 2019. During construction, there will be rolling lane restrictions.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based on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(8) Installation of fencing, signs, pavement markings, small passenger shelters, traffic signals, and railroad warning devices where no substantial land acquisition or traffic disruption will occur. </w:t>
            </w:r>
            <w:r>
              <w:rPr>
                <w:rStyle w:val="DefaultParagraphFont"/>
                <w:b/>
                <w:i/>
                <w:sz w:val="24"/>
                <w:szCs w:val="24"/>
                <w:lang w:val="en-US" w:eastAsia="en-US" w:bidi="ar-SA"/>
              </w:rPr>
              <w:t>Examples include: The installation or maintenance of signs, pavement markings/raised pavement markers/sensors, traffic calming activities, and/or new or replacement fencing (right-of-way, vandal, etc.); General pavement marking or "line painting" projects.</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location of the project within the globally rare Oak Openings region, there shall be no earth disturbance in these areas: </w:t>
      </w:r>
    </w:p>
    <w:p>
      <w:pPr>
        <w:pStyle w:val="BodyText0"/>
        <w:keepNext/>
        <w:rPr>
          <w:rStyle w:val="DefaultParagraphFont"/>
          <w:rFonts w:ascii="Calibri" w:eastAsia="Calibri" w:hAnsi="Calibri" w:cs="Calibri"/>
        </w:rPr>
      </w:pPr>
      <w:r>
        <w:rPr>
          <w:rStyle w:val="DefaultParagraphFont"/>
          <w:rFonts w:ascii="Calibri" w:eastAsia="Calibri" w:hAnsi="Calibri" w:cs="Calibri"/>
        </w:rPr>
        <w:t>a. FUL-109-0.00 to FUL-109-1.00 (FUL-5)</w:t>
      </w:r>
    </w:p>
    <w:p>
      <w:pPr>
        <w:pStyle w:val="BodyText0"/>
        <w:keepNext/>
        <w:rPr>
          <w:rStyle w:val="DefaultParagraphFont"/>
          <w:rFonts w:ascii="Calibri" w:eastAsia="Calibri" w:hAnsi="Calibri" w:cs="Calibri"/>
        </w:rPr>
      </w:pPr>
      <w:r>
        <w:rPr>
          <w:rStyle w:val="DefaultParagraphFont"/>
          <w:rFonts w:ascii="Calibri" w:eastAsia="Calibri" w:hAnsi="Calibri" w:cs="Calibri"/>
        </w:rPr>
        <w:t>b. LUC-20A-0.48 to LUC-20A-3.47 (LUC-3)</w:t>
      </w:r>
    </w:p>
    <w:p>
      <w:pPr>
        <w:pStyle w:val="BodyText0"/>
        <w:keepNext/>
        <w:rPr>
          <w:rStyle w:val="DefaultParagraphFont"/>
          <w:rFonts w:ascii="Calibri" w:eastAsia="Calibri" w:hAnsi="Calibri" w:cs="Calibri"/>
        </w:rPr>
      </w:pPr>
      <w:r>
        <w:rPr>
          <w:rStyle w:val="DefaultParagraphFont"/>
          <w:rFonts w:ascii="Calibri" w:eastAsia="Calibri" w:hAnsi="Calibri" w:cs="Calibri"/>
        </w:rPr>
        <w:t>d. LUC-2-2.23 to LUC-2-9.05 (LUC-6)</w:t>
      </w:r>
    </w:p>
    <w:p>
      <w:pPr>
        <w:pStyle w:val="BodyText0"/>
        <w:keepNext/>
        <w:rPr>
          <w:rStyle w:val="DefaultParagraphFont"/>
          <w:rFonts w:ascii="Calibri" w:eastAsia="Calibri" w:hAnsi="Calibri" w:cs="Calibri"/>
        </w:rPr>
      </w:pPr>
      <w:r>
        <w:rPr>
          <w:rStyle w:val="DefaultParagraphFont"/>
          <w:rFonts w:ascii="Calibri" w:eastAsia="Calibri" w:hAnsi="Calibri" w:cs="Calibri"/>
        </w:rPr>
        <w:t>c. LUC-295-14.47 to LUC-295-16.55 (LUC-9)</w:t>
      </w:r>
    </w:p>
    <w:p>
      <w:pPr>
        <w:pStyle w:val="BodyText0"/>
        <w:keepNext/>
        <w:rPr>
          <w:rStyle w:val="DefaultParagraphFont"/>
          <w:rFonts w:ascii="Calibri" w:eastAsia="Calibri" w:hAnsi="Calibri" w:cs="Calibri"/>
        </w:rPr>
      </w:pPr>
      <w:r>
        <w:rPr>
          <w:rStyle w:val="DefaultParagraphFont"/>
          <w:rFonts w:ascii="Calibri" w:eastAsia="Calibri" w:hAnsi="Calibri" w:cs="Calibri"/>
        </w:rPr>
        <w:t>d. LUC-20-9.19 to LUC-20-10.16 (LUC-2)</w:t>
      </w:r>
    </w:p>
    <w:p>
      <w:pPr>
        <w:pStyle w:val="BodyText0"/>
        <w:keepNext/>
        <w:rPr>
          <w:rStyle w:val="DefaultParagraphFont"/>
          <w:rFonts w:ascii="Calibri" w:eastAsia="Calibri" w:hAnsi="Calibri" w:cs="Calibri"/>
        </w:rPr>
      </w:pPr>
      <w:r>
        <w:rPr>
          <w:rStyle w:val="DefaultParagraphFont"/>
          <w:rFonts w:ascii="Calibri" w:eastAsia="Calibri" w:hAnsi="Calibri" w:cs="Calibri"/>
        </w:rPr>
        <w:t>e. LUC-23-9.81 to LUC-23-11.4 (LUC-4)</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No work shall be done off the existing pavement in these areas.  Care shall be taken to not disturb the existing vegetation in these areas.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4. If any animals, snake, turtle, bird, or salamander is found within the project work limits, crews shall wait until the species has moved off of the project site unharmed before work can continue.</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location of the project within the globally rare Oak Openings region, there shall be no earth disturbance in these areas: </w:t>
      </w:r>
    </w:p>
    <w:p>
      <w:pPr>
        <w:pStyle w:val="BodyText1"/>
        <w:keepNext/>
        <w:rPr>
          <w:rStyle w:val="DefaultParagraphFont"/>
          <w:rFonts w:ascii="Calibri" w:eastAsia="Calibri" w:hAnsi="Calibri" w:cs="Calibri"/>
        </w:rPr>
      </w:pPr>
      <w:r>
        <w:rPr>
          <w:rStyle w:val="DefaultParagraphFont"/>
          <w:rFonts w:ascii="Calibri" w:eastAsia="Calibri" w:hAnsi="Calibri" w:cs="Calibri"/>
        </w:rPr>
        <w:t>a. FUL-109-0.00 to FUL-109-1.00 (FUL-5)</w:t>
      </w:r>
    </w:p>
    <w:p>
      <w:pPr>
        <w:pStyle w:val="BodyText1"/>
        <w:keepNext/>
        <w:rPr>
          <w:rStyle w:val="DefaultParagraphFont"/>
          <w:rFonts w:ascii="Calibri" w:eastAsia="Calibri" w:hAnsi="Calibri" w:cs="Calibri"/>
        </w:rPr>
      </w:pPr>
      <w:r>
        <w:rPr>
          <w:rStyle w:val="DefaultParagraphFont"/>
          <w:rFonts w:ascii="Calibri" w:eastAsia="Calibri" w:hAnsi="Calibri" w:cs="Calibri"/>
        </w:rPr>
        <w:t>b. LUC-20A-0.48 to LUC-20A-3.47 (LUC-3)</w:t>
      </w:r>
    </w:p>
    <w:p>
      <w:pPr>
        <w:pStyle w:val="BodyText1"/>
        <w:keepNext/>
        <w:rPr>
          <w:rStyle w:val="DefaultParagraphFont"/>
          <w:rFonts w:ascii="Calibri" w:eastAsia="Calibri" w:hAnsi="Calibri" w:cs="Calibri"/>
        </w:rPr>
      </w:pPr>
      <w:r>
        <w:rPr>
          <w:rStyle w:val="DefaultParagraphFont"/>
          <w:rFonts w:ascii="Calibri" w:eastAsia="Calibri" w:hAnsi="Calibri" w:cs="Calibri"/>
        </w:rPr>
        <w:t>d. LUC-2-2.23 to LUC-2-9.05 (LUC-6)</w:t>
      </w:r>
    </w:p>
    <w:p>
      <w:pPr>
        <w:pStyle w:val="BodyText1"/>
        <w:keepNext/>
        <w:rPr>
          <w:rStyle w:val="DefaultParagraphFont"/>
          <w:rFonts w:ascii="Calibri" w:eastAsia="Calibri" w:hAnsi="Calibri" w:cs="Calibri"/>
        </w:rPr>
      </w:pPr>
      <w:r>
        <w:rPr>
          <w:rStyle w:val="DefaultParagraphFont"/>
          <w:rFonts w:ascii="Calibri" w:eastAsia="Calibri" w:hAnsi="Calibri" w:cs="Calibri"/>
        </w:rPr>
        <w:t>c. LUC-295-14.47 to LUC-295-16.55 (LUC-9)</w:t>
      </w:r>
    </w:p>
    <w:p>
      <w:pPr>
        <w:pStyle w:val="BodyText1"/>
        <w:keepNext/>
        <w:rPr>
          <w:rStyle w:val="DefaultParagraphFont"/>
          <w:rFonts w:ascii="Calibri" w:eastAsia="Calibri" w:hAnsi="Calibri" w:cs="Calibri"/>
        </w:rPr>
      </w:pPr>
      <w:r>
        <w:rPr>
          <w:rStyle w:val="DefaultParagraphFont"/>
          <w:rFonts w:ascii="Calibri" w:eastAsia="Calibri" w:hAnsi="Calibri" w:cs="Calibri"/>
        </w:rPr>
        <w:t>d. LUC-20-9.19 to LUC-20-10.16 (LUC-2)</w:t>
      </w:r>
    </w:p>
    <w:p>
      <w:pPr>
        <w:pStyle w:val="BodyText1"/>
        <w:keepNext/>
        <w:rPr>
          <w:rStyle w:val="DefaultParagraphFont"/>
          <w:rFonts w:ascii="Calibri" w:eastAsia="Calibri" w:hAnsi="Calibri" w:cs="Calibri"/>
        </w:rPr>
      </w:pPr>
      <w:r>
        <w:rPr>
          <w:rStyle w:val="DefaultParagraphFont"/>
          <w:rFonts w:ascii="Calibri" w:eastAsia="Calibri" w:hAnsi="Calibri" w:cs="Calibri"/>
        </w:rPr>
        <w:t>e. LUC-23-9.81 to LUC-23-11.4 (LUC-4)</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No work shall be done off the existing pavement in these areas.  Care shall be taken to not disturb the existing vegetation in these areas.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Ecological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OES Decision - Ecological.pdf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Permits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101073 D02 RPM FY2019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101073 D02 RPM FY2019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101073 D02 RPM FY2019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101073 D02 RPM FY2019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101073 D02 RPM FY2019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2017-11-09T05:00:00+00:00</DateCompleted>
    <Internal_x0020_Only xmlns="df873bd8-8520-468a-8ecb-74db49e47217">No</Internal_x0020_Only>
    <FID xmlns="df873bd8-8520-468a-8ecb-74db49e47217">8842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B7C9056-711A-4A49-AA74-ECFAC33E36D6}"/>
</file>

<file path=customXml/itemProps2.xml><?xml version="1.0" encoding="utf-8"?>
<ds:datastoreItem xmlns:ds="http://schemas.openxmlformats.org/officeDocument/2006/customXml" ds:itemID="{14435A94-1A40-4465-8BF5-A785ED75C8DC}"/>
</file>

<file path=customXml/itemProps3.xml><?xml version="1.0" encoding="utf-8"?>
<ds:datastoreItem xmlns:ds="http://schemas.openxmlformats.org/officeDocument/2006/customXml" ds:itemID="{7E598966-BDE6-4122-9365-60A815013BD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