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PM FY2019 PID 101072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proposed project includes district wide (Henry, Fulton, Lucas, Ottawa, Sandusky, Seneca, Wood, and Williams County) pavement marking maintenance to re-paint pavement markings. This project will not impact any waters of the US or special flood hazard areas so no permits are required. Some locations are within 1,000 feet of the State Scenic Maumee and Sandusky Rivers however, this activity is an exempt activity and no notifications to the Ohio Department of Natural Resources (ODNR) Scenic Rivers are required. Extra care will be taken to not disturb any plants/animals, especially within the Oak Openings region. This project will not have any impacts on any historically significant resources. Construction is expected to begin in the spring of 2019 and continue throughout the year (winter 2019). The public will be notified of any traffic disruptions.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3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4. If any animals, snake, turtle, bird, or salamander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routes listed below in Lucas, Henry, and Fulton Counties are located within the globally rare Oak Openings region. Earth disturbance shall be the very minimum necessary to complete the work.  Care shall be taken to not disturb the existing vegetation as much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FUL-20A-26.00 to 26.32</w:t>
      </w:r>
    </w:p>
    <w:p>
      <w:pPr>
        <w:pStyle w:val="BodyText0"/>
        <w:keepNext/>
        <w:rPr>
          <w:rStyle w:val="DefaultParagraphFont"/>
          <w:rFonts w:ascii="Calibri" w:eastAsia="Calibri" w:hAnsi="Calibri" w:cs="Calibri"/>
        </w:rPr>
      </w:pPr>
      <w:r>
        <w:rPr>
          <w:rStyle w:val="DefaultParagraphFont"/>
          <w:rFonts w:ascii="Calibri" w:eastAsia="Calibri" w:hAnsi="Calibri" w:cs="Calibri"/>
        </w:rPr>
        <w:t>FUL-109-0.00-1.00</w:t>
      </w:r>
    </w:p>
    <w:p>
      <w:pPr>
        <w:pStyle w:val="BodyText0"/>
        <w:keepNext/>
        <w:rPr>
          <w:rStyle w:val="DefaultParagraphFont"/>
          <w:rFonts w:ascii="Calibri" w:eastAsia="Calibri" w:hAnsi="Calibri" w:cs="Calibri"/>
        </w:rPr>
      </w:pPr>
      <w:r>
        <w:rPr>
          <w:rStyle w:val="DefaultParagraphFont"/>
          <w:rFonts w:ascii="Calibri" w:eastAsia="Calibri" w:hAnsi="Calibri" w:cs="Calibri"/>
        </w:rPr>
        <w:t>HEN-109-23.00 to 23.92</w:t>
      </w:r>
    </w:p>
    <w:p>
      <w:pPr>
        <w:pStyle w:val="BodyText0"/>
        <w:keepNext/>
        <w:rPr>
          <w:rStyle w:val="DefaultParagraphFont"/>
          <w:rFonts w:ascii="Calibri" w:eastAsia="Calibri" w:hAnsi="Calibri" w:cs="Calibri"/>
        </w:rPr>
      </w:pPr>
      <w:r>
        <w:rPr>
          <w:rStyle w:val="DefaultParagraphFont"/>
          <w:rFonts w:ascii="Calibri" w:eastAsia="Calibri" w:hAnsi="Calibri" w:cs="Calibri"/>
        </w:rPr>
        <w:t>LUC-475-6.30 to 10.60</w:t>
      </w:r>
    </w:p>
    <w:p>
      <w:pPr>
        <w:pStyle w:val="BodyText0"/>
        <w:keepNext/>
        <w:rPr>
          <w:rStyle w:val="DefaultParagraphFont"/>
          <w:rFonts w:ascii="Calibri" w:eastAsia="Calibri" w:hAnsi="Calibri" w:cs="Calibri"/>
        </w:rPr>
      </w:pPr>
      <w:r>
        <w:rPr>
          <w:rStyle w:val="DefaultParagraphFont"/>
          <w:rFonts w:ascii="Calibri" w:eastAsia="Calibri" w:hAnsi="Calibri" w:cs="Calibri"/>
        </w:rPr>
        <w:t>LUC-20-5.00 to 11.26</w:t>
      </w:r>
    </w:p>
    <w:p>
      <w:pPr>
        <w:pStyle w:val="BodyText0"/>
        <w:keepNext/>
        <w:rPr>
          <w:rStyle w:val="DefaultParagraphFont"/>
          <w:rFonts w:ascii="Calibri" w:eastAsia="Calibri" w:hAnsi="Calibri" w:cs="Calibri"/>
        </w:rPr>
      </w:pPr>
      <w:r>
        <w:rPr>
          <w:rStyle w:val="DefaultParagraphFont"/>
          <w:rFonts w:ascii="Calibri" w:eastAsia="Calibri" w:hAnsi="Calibri" w:cs="Calibri"/>
        </w:rPr>
        <w:t>LUC-120-10.65 to 11.66</w:t>
      </w:r>
    </w:p>
    <w:p>
      <w:pPr>
        <w:pStyle w:val="BodyText0"/>
        <w:keepNext/>
        <w:rPr>
          <w:rStyle w:val="DefaultParagraphFont"/>
          <w:rFonts w:ascii="Calibri" w:eastAsia="Calibri" w:hAnsi="Calibri" w:cs="Calibri"/>
        </w:rPr>
      </w:pPr>
      <w:r>
        <w:rPr>
          <w:rStyle w:val="DefaultParagraphFont"/>
          <w:rFonts w:ascii="Calibri" w:eastAsia="Calibri" w:hAnsi="Calibri" w:cs="Calibri"/>
        </w:rPr>
        <w:t>LUC-23-9.63 to 11.00</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LUC-20A-0.00 to 6.60 </w:t>
      </w:r>
    </w:p>
    <w:p>
      <w:pPr>
        <w:pStyle w:val="BodyText0"/>
        <w:keepNext/>
        <w:rPr>
          <w:rStyle w:val="DefaultParagraphFont"/>
          <w:rFonts w:ascii="Calibri" w:eastAsia="Calibri" w:hAnsi="Calibri" w:cs="Calibri"/>
        </w:rPr>
      </w:pPr>
      <w:r>
        <w:rPr>
          <w:rStyle w:val="DefaultParagraphFont"/>
          <w:rFonts w:ascii="Calibri" w:eastAsia="Calibri" w:hAnsi="Calibri" w:cs="Calibri"/>
        </w:rPr>
        <w:t>LUC-2-2.23 to 8.70</w:t>
      </w:r>
    </w:p>
    <w:p>
      <w:pPr>
        <w:pStyle w:val="BodyText0"/>
        <w:keepNext/>
        <w:rPr>
          <w:rStyle w:val="DefaultParagraphFont"/>
          <w:rFonts w:ascii="Calibri" w:eastAsia="Calibri" w:hAnsi="Calibri" w:cs="Calibri"/>
        </w:rPr>
      </w:pPr>
      <w:r>
        <w:rPr>
          <w:rStyle w:val="DefaultParagraphFont"/>
          <w:rFonts w:ascii="Calibri" w:eastAsia="Calibri" w:hAnsi="Calibri" w:cs="Calibri"/>
        </w:rPr>
        <w:t>LUC-295-6.75 to 16.75</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4. If any animals, snake, turtle, bird, or salamander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routes listed below in Lucas, Henry, and Fulton Counties are located within the globally rare Oak Openings region. Earth disturbance shall be the very minimum necessary to complete the work.  Care shall be taken to not disturb the existing vegetation as much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FUL-20A-26.00 to 26.32</w:t>
      </w:r>
    </w:p>
    <w:p>
      <w:pPr>
        <w:pStyle w:val="BodyText1"/>
        <w:keepNext/>
        <w:rPr>
          <w:rStyle w:val="DefaultParagraphFont"/>
          <w:rFonts w:ascii="Calibri" w:eastAsia="Calibri" w:hAnsi="Calibri" w:cs="Calibri"/>
        </w:rPr>
      </w:pPr>
      <w:r>
        <w:rPr>
          <w:rStyle w:val="DefaultParagraphFont"/>
          <w:rFonts w:ascii="Calibri" w:eastAsia="Calibri" w:hAnsi="Calibri" w:cs="Calibri"/>
        </w:rPr>
        <w:t>FUL-109-0.00-1.00</w:t>
      </w:r>
    </w:p>
    <w:p>
      <w:pPr>
        <w:pStyle w:val="BodyText1"/>
        <w:keepNext/>
        <w:rPr>
          <w:rStyle w:val="DefaultParagraphFont"/>
          <w:rFonts w:ascii="Calibri" w:eastAsia="Calibri" w:hAnsi="Calibri" w:cs="Calibri"/>
        </w:rPr>
      </w:pPr>
      <w:r>
        <w:rPr>
          <w:rStyle w:val="DefaultParagraphFont"/>
          <w:rFonts w:ascii="Calibri" w:eastAsia="Calibri" w:hAnsi="Calibri" w:cs="Calibri"/>
        </w:rPr>
        <w:t>HEN-109-23.00 to 23.92</w:t>
      </w:r>
    </w:p>
    <w:p>
      <w:pPr>
        <w:pStyle w:val="BodyText1"/>
        <w:keepNext/>
        <w:rPr>
          <w:rStyle w:val="DefaultParagraphFont"/>
          <w:rFonts w:ascii="Calibri" w:eastAsia="Calibri" w:hAnsi="Calibri" w:cs="Calibri"/>
        </w:rPr>
      </w:pPr>
      <w:r>
        <w:rPr>
          <w:rStyle w:val="DefaultParagraphFont"/>
          <w:rFonts w:ascii="Calibri" w:eastAsia="Calibri" w:hAnsi="Calibri" w:cs="Calibri"/>
        </w:rPr>
        <w:t>LUC-475-6.30 to 10.60</w:t>
      </w:r>
    </w:p>
    <w:p>
      <w:pPr>
        <w:pStyle w:val="BodyText1"/>
        <w:keepNext/>
        <w:rPr>
          <w:rStyle w:val="DefaultParagraphFont"/>
          <w:rFonts w:ascii="Calibri" w:eastAsia="Calibri" w:hAnsi="Calibri" w:cs="Calibri"/>
        </w:rPr>
      </w:pPr>
      <w:r>
        <w:rPr>
          <w:rStyle w:val="DefaultParagraphFont"/>
          <w:rFonts w:ascii="Calibri" w:eastAsia="Calibri" w:hAnsi="Calibri" w:cs="Calibri"/>
        </w:rPr>
        <w:t>LUC-20-5.00 to 11.26</w:t>
      </w:r>
    </w:p>
    <w:p>
      <w:pPr>
        <w:pStyle w:val="BodyText1"/>
        <w:keepNext/>
        <w:rPr>
          <w:rStyle w:val="DefaultParagraphFont"/>
          <w:rFonts w:ascii="Calibri" w:eastAsia="Calibri" w:hAnsi="Calibri" w:cs="Calibri"/>
        </w:rPr>
      </w:pPr>
      <w:r>
        <w:rPr>
          <w:rStyle w:val="DefaultParagraphFont"/>
          <w:rFonts w:ascii="Calibri" w:eastAsia="Calibri" w:hAnsi="Calibri" w:cs="Calibri"/>
        </w:rPr>
        <w:t>LUC-120-10.65 to 11.66</w:t>
      </w:r>
    </w:p>
    <w:p>
      <w:pPr>
        <w:pStyle w:val="BodyText1"/>
        <w:keepNext/>
        <w:rPr>
          <w:rStyle w:val="DefaultParagraphFont"/>
          <w:rFonts w:ascii="Calibri" w:eastAsia="Calibri" w:hAnsi="Calibri" w:cs="Calibri"/>
        </w:rPr>
      </w:pPr>
      <w:r>
        <w:rPr>
          <w:rStyle w:val="DefaultParagraphFont"/>
          <w:rFonts w:ascii="Calibri" w:eastAsia="Calibri" w:hAnsi="Calibri" w:cs="Calibri"/>
        </w:rPr>
        <w:t>LUC-23-9.63 to 11.00</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LUC-20A-0.00 to 6.60 </w:t>
      </w:r>
    </w:p>
    <w:p>
      <w:pPr>
        <w:pStyle w:val="BodyText1"/>
        <w:keepNext/>
        <w:rPr>
          <w:rStyle w:val="DefaultParagraphFont"/>
          <w:rFonts w:ascii="Calibri" w:eastAsia="Calibri" w:hAnsi="Calibri" w:cs="Calibri"/>
        </w:rPr>
      </w:pPr>
      <w:r>
        <w:rPr>
          <w:rStyle w:val="DefaultParagraphFont"/>
          <w:rFonts w:ascii="Calibri" w:eastAsia="Calibri" w:hAnsi="Calibri" w:cs="Calibri"/>
        </w:rPr>
        <w:t>LUC-2-2.23 to 8.70</w:t>
      </w:r>
    </w:p>
    <w:p>
      <w:pPr>
        <w:pStyle w:val="BodyText1"/>
        <w:keepNext/>
        <w:rPr>
          <w:rStyle w:val="DefaultParagraphFont"/>
          <w:rFonts w:ascii="Calibri" w:eastAsia="Calibri" w:hAnsi="Calibri" w:cs="Calibri"/>
        </w:rPr>
      </w:pPr>
      <w:r>
        <w:rPr>
          <w:rStyle w:val="DefaultParagraphFont"/>
          <w:rFonts w:ascii="Calibri" w:eastAsia="Calibri" w:hAnsi="Calibri" w:cs="Calibri"/>
        </w:rPr>
        <w:t>LUC-295-6.75 to 16.75</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Permits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101072 D02 PM FY2019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101072 D02 PM FY2019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101072 D02 PM FY2019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101072 D02 PM FY2019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101072 D02 PM FY2019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2017-12-07T05:00:00+00:00</DateCompleted>
    <Internal_x0020_Only xmlns="df873bd8-8520-468a-8ecb-74db49e47217">No</Internal_x0020_Only>
    <FID xmlns="df873bd8-8520-468a-8ecb-74db49e47217">8843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0084F9F-EC61-4C50-B9F7-2843D093E715}"/>
</file>

<file path=customXml/itemProps2.xml><?xml version="1.0" encoding="utf-8"?>
<ds:datastoreItem xmlns:ds="http://schemas.openxmlformats.org/officeDocument/2006/customXml" ds:itemID="{D05BBB7F-5076-488B-827B-2BBF16E235FA}"/>
</file>

<file path=customXml/itemProps3.xml><?xml version="1.0" encoding="utf-8"?>
<ds:datastoreItem xmlns:ds="http://schemas.openxmlformats.org/officeDocument/2006/customXml" ds:itemID="{8CD9A2A7-2C75-4B89-B1B3-C4123A7658F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