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FY2020-2021 Subsurf PID 106458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106458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D12 and D3 --- 2020-2021 GEC contract for pavement and bridge subsurface investigation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102289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Funding: 100% state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(24) Localized geotechnical and other investigations to provide information for preliminary design and for environmental analyses and permitting purposes, such as drilling test bores for soil sampling; archaeological investigations for archaeology resources assessment or similar survey; and wetland surveys</w:t>
            </w: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 xml:space="preserve"> (This only applies to stand alone projects, not for environmental surveys being conducted as part of a project with an environmental document).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106458 D12/D3 GES FY2020-2021 Subsurf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106458 D12/D3 GES FY2020-2021 Subsurf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106458 D12/D3 GES FY2020-2021 Subsurf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106458 D12/D3 GES FY2020-2021 Subsurf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106458 D12/D3 GES FY2020-2021 Subsurf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8955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4C2D06F-C8DB-42D0-8E45-ADE044972134}"/>
</file>

<file path=customXml/itemProps2.xml><?xml version="1.0" encoding="utf-8"?>
<ds:datastoreItem xmlns:ds="http://schemas.openxmlformats.org/officeDocument/2006/customXml" ds:itemID="{75347036-2B37-4D7E-BBAA-7562F9443799}"/>
</file>

<file path=customXml/itemProps3.xml><?xml version="1.0" encoding="utf-8"?>
<ds:datastoreItem xmlns:ds="http://schemas.openxmlformats.org/officeDocument/2006/customXml" ds:itemID="{4615CC38-AD2B-4D9F-BECF-30E35506CC8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